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Introducción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trastornos de ansiedad constituyen el grupo de trastornos mentales más prevalente en la población mundial y en Colombia. Según la Encuesta Nacional de Salud Mental de 2015, los trastornos de ansiedad afectan al 7,3% de la población adulta colombiana, con el trastorno de ansiedad generalizada (TAG), el trastorno de pánico, la fobia social y el trastorno de estrés postraumático (TEPT) como las presentaciones de mayor frecuencia e impacto funcional. Esta prevalencia se eleva de forma significativa en contextos de alta exposición al conflicto armado, violencia basada en género, desplazamiento forzado y pobreza extrema — condiciones que caracterizan a amplias regiones del territorio colombiano. La Encuesta de Salud Mental Nacional de 2015 también señala que la mayoría de las personas con trastornos de ansiedad en Colombia no reciben tratamiento: la brecha de atención supera el 60%, y el tiempo promedio entre el inicio de los síntomas y la primera consulta especializada es de varios años.</w:t>
      </w:r>
    </w:p>
    <w:p w:rsidR="00000000" w:rsidDel="00000000" w:rsidP="00000000" w:rsidRDefault="00000000" w:rsidRPr="00000000" w14:paraId="0000000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trastornos de ansiedad son condiciones con alta morbilidad funcional: generan ausentismo laboral, deterioro de las relaciones interpersonales, comorbilidad frecuente con depresión y con el consumo de sustancias psicoactivas, y representan una carga significativa para el sistema de salud por su patrón de consultas frecuentes en urgencias y medicina general por síntomas somáticos — dolor torácico, palpitaciones, disnea, mareos, parestesias — que con frecuencia son atribuidos erróneamente a causas cardiovasculares o neurológicas antes de reconocerse su origen ansioso. Esta demora diagnóstica es especialmente pronunciada en el contexto colombiano, donde la somatización de la ansiedad es un patrón cultural frecuente y el reconocimiento del componente psicológico enfrenta el estigma social asociado a los trastornos mentales.</w:t>
      </w:r>
    </w:p>
    <w:p w:rsidR="00000000" w:rsidDel="00000000" w:rsidP="00000000" w:rsidRDefault="00000000" w:rsidRPr="00000000" w14:paraId="0000000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la telepsiquiatría ofrecen una solución directa para reducir la brecha de tratamiento en los trastornos de ansiedad. La evidencia internacional respalda la equivalencia clínica de la terapia cognitivo-conductual entregada por videoconferencia con la modalidad presencial, y la efectividad de la teleconsulta para el inicio y el seguimiento del tratamiento farmacológico. El modelo de atención colaborativa — en el que el médico general maneja la ansiedad leve a moderada con el respaldo del psiquiatra referente por teleconsulta — permite ampliar significativamente la cobertura de tratamiento sin incrementar proporcionalmente los costos del sistema, aprovechando la capacidad instalada del primer nivel de atención y la conectividad creciente en las regiones colombianas.</w:t>
      </w:r>
    </w:p>
    <w:p w:rsidR="00000000" w:rsidDel="00000000" w:rsidP="00000000" w:rsidRDefault="00000000" w:rsidRPr="00000000" w14:paraId="0000000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protocolo estandariza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manejo de los trastornos de ansiedad en el adulto en el marco institucional del Hospital Universitario Nacional de Colombia (HUN), articulado con las guías internacionales de la Asociación Americana de Psiquiatría (APA), el National Institute for Health and Care Excellence (NICE), la Organización Mundial de la Salud (OMS) y la normativa nacional de salud mental. Este documento no sustituye las Guías de Práctica Clínica nacionales e internacionales vigentes; su propósito es complementarlas y operacionalizarlas en el contexto específico de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institucional.</w:t>
      </w:r>
    </w:p>
    <w:p w:rsidR="00000000" w:rsidDel="00000000" w:rsidP="00000000" w:rsidRDefault="00000000" w:rsidRPr="00000000" w14:paraId="0000000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Objetivo General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Estandarizar la prestación del servicio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y teleconsulta para el diagnóstico diferencial, el tratamiento farmacológico, la psicoterapia estructurada y el seguimiento de los trastornos de ansiedad en el adulto, garantizando el acceso equitativo a una atención basada en la evidencia, la detección temprana de la comorbilidad depresiva y el riesgo suicida, y la continuidad del cuidado hasta la remisión clínica, en la red de servicios del HUN.</w:t>
      </w:r>
    </w:p>
    <w:p w:rsidR="00000000" w:rsidDel="00000000" w:rsidP="00000000" w:rsidRDefault="00000000" w:rsidRPr="00000000" w14:paraId="0000000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Objetivos Específicos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Estandarizar el tamizaje sistemático de los trastornos de ansiedad en el nivel primario mediante la Escala GAD-7 y el Índice de Sensibilidad a la Ansiedad (ASI-3), con activación de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ante puntuaciones que indiquen ansiedad moderada a severa o ante la presencia de crisis de pánico, agorafobia o síntomas de TEPT.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Protocolizar el diagnóstico diferencial remoto entre el trastorno de ansiedad generalizada, el trastorno de pánico con o sin agorafobia, la fobia social, el TEPT, el trastorno obsesivo-compulsivo (TOC) y la ansiedad secundaria a condición médica o a sustancias, orientando la conducta terapéutica específica para cada entidad.</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Guiar el inicio del tratamiento farmacológico de primera línea desde el nivel primario con el respaldo de la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definiendo la selección del fármaco según el diagnóstico específico, el perfil clínico del paciente y las comorbilidades, con énfasis en el uso racional de las benzodiacepinas y la prevención de la dependencia iatrogénica.</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Implementar intervenciones psicoterapéuticas estructuradas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 activación conductual, psicoeducación sobre la ansiedad, técnicas de exposición gradual, técnicas de relajación y mindfulness — adaptadas al formato de teleconsulta individual.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Establecer el seguimiento estructurado durante las primeras ocho semanas del tratamiento, con evaluación sistemática de la respuesta, los efectos adversos, el riesgo de dependencia a benzodiacepinas y la comorbilidad depresiva en cada consulta.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Articular el manejo de la ansiedad por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teleexperticia</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con la atención del trauma en pacientes con TEPT relacionado con el conflicto armado, la violencia de género y el desplazamiento forzado, garantizando un abordaje sensible al trauma y culturalmente adecuado.</w:t>
      </w:r>
    </w:p>
    <w:p w:rsidR="00000000" w:rsidDel="00000000" w:rsidP="00000000" w:rsidRDefault="00000000" w:rsidRPr="00000000" w14:paraId="0000001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Alcance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Población objeto: aplica a todo paciente adulto (mayor de 18 años) con sospecha diagnóstica o diagnóstico confirmado de trastorno de ansiedad generalizada (TAG), trastorno de pánico con o sin agorafobia, fobia social (trastorno de ansiedad social), trastorno de estrés postraumático (TEPT), trastorno obsesivo-compulsivo (TOC), trastorno de ansiedad por separación de inicio adulto, o ansiedad secundaria a enfermedad médica o a sustancias, que sea atendido en instituciones de la red del HUN sin disponibilidad de psiquiatra presencial o que requiera seguimiento ambulatorio de mantenimiento.</w:t>
      </w:r>
    </w:p>
    <w:p w:rsidR="00000000" w:rsidDel="00000000" w:rsidP="00000000" w:rsidRDefault="00000000" w:rsidRPr="00000000" w14:paraId="0000001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clínico-asistencial: comprende la teleconsulta para el tamizaje con GAD-7 y el diagnóstico diferencial;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para el inicio y ajuste del tratamiento farmacológico; el seguimiento de la respuesta y los efectos adversos; la evaluación de la comorbilidad depresiva y el riesgo suicida; las intervenciones psicoterapéuticas estructuradas por teleconferencia; el manejo de la dependencia a benzodiacepinas; y la coordinación de la hospitalización cuando esté indicada.</w:t>
      </w:r>
    </w:p>
    <w:p w:rsidR="00000000" w:rsidDel="00000000" w:rsidP="00000000" w:rsidRDefault="00000000" w:rsidRPr="00000000" w14:paraId="0000001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Alcance tecnológico: se prioriza la teleconsulta por video para la evaluación diagnóstica inicial, la evaluación del estado mental y las sesiones de psicoterapia estructurada. En el trastorno de pánico, la videoconferencia permite al psiquiatra referente observar directamente los síntomas autonómicos durante una crisis y guiar las técnicas de manejo en tiempo real. En zonas con conectividad inestable se acepta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por audio.</w:t>
      </w:r>
    </w:p>
    <w:p w:rsidR="00000000" w:rsidDel="00000000" w:rsidP="00000000" w:rsidRDefault="00000000" w:rsidRPr="00000000" w14:paraId="0000001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Exclusiones: el trastorno obsesivo-compulsivo refractario, el TEPT complejo con disociación severa y el trastorno de ansiedad con comorbilidad psicótica activa requieren evaluación presencial especializada y no pueden ser manejados de forma exclusiva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La desintoxicación de benzodiacepinas de alta dosis con riesgo de convulsiones requiere manejo presencial en unidad de desintoxicación.</w:t>
      </w:r>
    </w:p>
    <w:p w:rsidR="00000000" w:rsidDel="00000000" w:rsidP="00000000" w:rsidRDefault="00000000" w:rsidRPr="00000000" w14:paraId="0000001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Marco Normativo</w:t>
      </w:r>
    </w:p>
    <w:p w:rsidR="00000000" w:rsidDel="00000000" w:rsidP="00000000" w:rsidRDefault="00000000" w:rsidRPr="00000000" w14:paraId="0000001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telesalud y telemedicina en Colombia:</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2654 de 2019 (Ministerio de Salud y Protección Social): regula la telesalud y la telemedicina en Colombia, estableciendo las disposiciones para su práctica, parámetros operativos y responsabilidades institucionales.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3100 de 2019 (Ministerio de Salud y Protección Social): define los procedimientos y condiciones de inscripción de los Prestadores de Servicios de Salud y de habilitación de los servicios en el país.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1419 de 2010: establece los lineamientos y principios para el desarrollo de la Telesalud en Colombia.</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1581 de 2012: dicta las disposiciones generales para la protección de datos personales (Habeas Data) y el tratamiento de información sensible en salud.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Decreto 538 de 2020: adopta medidas para garantizar el acceso y la continuidad en la prestación de servicios de salud bajo modalidades de telemedicina durante emergencias sanitarias.</w:t>
      </w:r>
    </w:p>
    <w:p w:rsidR="00000000" w:rsidDel="00000000" w:rsidP="00000000" w:rsidRDefault="00000000" w:rsidRPr="00000000" w14:paraId="0000001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Normatividad en salud mental y trastornos de ansiedad:</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1616 de 2013 — Ley de Salud Mental: reconoce la salud mental como derecho fundamental y establece el enfoque de derechos en la atención de los trastornos mentales, incluidos los trastornos de ansiedad, con derecho a tratamiento integral — farmacoterapia y psicoterapia — cubierto por el Plan de Beneficios en Salud.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4886 de 2018 (MinSalud): adopta la Política Nacional de Salud Mental, que incluye la reducción de la brecha de tratamiento en trastornos de ansiedad como eje estratégico, con énfasis en el modelo de atención colaborativa en el nivel primario y el fortalecimiento de la salud mental comunitaria.</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Resolución 2515 de 2020 (MinSalud): establece los lineamientos para la atención de urgencias en salud mental, incluyendo el manejo de las crisis de pánico severas y el TEPT en estado agudo.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Plan Decenal de Salud Pública 2022-2031 (MinSalud): incluye la reducción de la prevalencia de los trastornos de ansiedad no tratados y la implementación de intervenciones basadas en evidencia en el primer nivel de atención como metas nacionales.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Ley 1751 de 2015 — Ley Estatutaria de Salud: garantiza el derecho fundamental a la salud sin discriminación, incluyendo la cobertura de los tratamientos farmacológicos y psicoterapéuticos para los trastornos de ansiedad dentro del PBS.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Organización Mundial de la Salud. mhGAP Intervention Guide, Versión 2.0 (2016): define los algoritmos de diagnóstico y tratamiento de los trastornos de ansiedad adaptados al nivel primario de atención, utilizados como referencia en este protocolo.</w:t>
      </w:r>
    </w:p>
    <w:p w:rsidR="00000000" w:rsidDel="00000000" w:rsidP="00000000" w:rsidRDefault="00000000" w:rsidRPr="00000000" w14:paraId="0000002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Definiciones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Telesalud: conjunto de actividades relacionadas con la salud, servicios y métodos que se llevan a cabo a distancia con la ayuda de las tecnologías de la información y telecomunicaciones. Incluye, entre otras, la Telemedicina y la Teleeducación en salud.</w:t>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Teleapoyo: soporte solicitado por un profesional de la salud a otro profesional de la salud a través de tecnologías de la información y comunicaciones en el marco del relacionamiento entre prestadores.</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relación a distancia con método de comunicación sincrónico o asincrónico para la provisión de servicios de salud, utilizando tecnologías de información y comunicación entre dos profesionales de la salud para la toma de decisiones clínicas en salud mental.</w:t>
      </w:r>
    </w:p>
    <w:p w:rsidR="00000000" w:rsidDel="00000000" w:rsidP="00000000" w:rsidRDefault="00000000" w:rsidRPr="00000000" w14:paraId="0000002B">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de ansiedad generalizada (TAG): preocupación excesiva, persistente y difícilmente controlable sobre múltiples temas de la vida cotidiana, de al menos 6 meses de duración, acompañada de al menos tres síntomas somáticos: inquietud o sensación de estar al límite, fatigabilidad fácil, dificultad para concentrarse, irritabilidad, tensión muscular e insomnio. Causa deterioro funcional significativo. Es el trastorno de ansiedad más frecuente en el nivel primario.</w:t>
      </w:r>
    </w:p>
    <w:p w:rsidR="00000000" w:rsidDel="00000000" w:rsidP="00000000" w:rsidRDefault="00000000" w:rsidRPr="00000000" w14:paraId="0000002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de pánico: presencia de crisis de pánico recurrentes e inesperadas — episodios súbitos de miedo o malestar intenso con síntomas autonómicos marcados (palpitaciones, sudoración, temblor, disnea, sensación de ahogo, dolor torácico, náuseas, mareos, parestesias, oleadas de calor o frío, despersonalización, miedo a perder el control o a morir) — seguidas de al menos un mes de preocupación persistente por la ocurrencia de nuevas crisis o cambios significativos en el comportamiento para evitarlas.</w:t>
      </w:r>
    </w:p>
    <w:p w:rsidR="00000000" w:rsidDel="00000000" w:rsidP="00000000" w:rsidRDefault="00000000" w:rsidRPr="00000000" w14:paraId="0000002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Agorafobia: miedo o ansiedad intensa ante situaciones en las que escapar o recibir ayuda podría ser difícil en caso de crisis de pánico (transporte público, espacios abiertos, espacios cerrados, multitudes, salir solo de casa). Genera evitación activa que limita severamente la funcionalidad.</w:t>
      </w:r>
    </w:p>
    <w:p w:rsidR="00000000" w:rsidDel="00000000" w:rsidP="00000000" w:rsidRDefault="00000000" w:rsidRPr="00000000" w14:paraId="0000002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de ansiedad social (fobia social): miedo o ansiedad intensa y persistente ante situaciones sociales en las que el individuo puede ser observado o evaluado por otros (hablar en público, comer en público, iniciar conversaciones, conocer personas nuevas). El miedo central es a actuar de forma humillante o embarazosa. Frecuentemente subdiagnosticado por la naturaleza ego-sintónica del aislamiento social en algunos contextos culturales.</w:t>
      </w:r>
    </w:p>
    <w:p w:rsidR="00000000" w:rsidDel="00000000" w:rsidP="00000000" w:rsidRDefault="00000000" w:rsidRPr="00000000" w14:paraId="0000002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de estrés postraumático (TEPT): trastorno que puede desarrollarse tras la exposición directa o indirecta a un evento traumático (violencia sexual, violencia física, combate, desastres naturales, accidentes graves, pérdida traumática). Se caracteriza por cuatro grupos de síntomas: reexperimentación (flashbacks, pesadillas, malestar intenso ante recordatorios del trauma), evitación (evitar pensamientos, sentimientos o recordatorios externos del trauma), alteraciones cognitivas y del estado de ánimo (creencias negativas persistentes, distorsión de la culpa, anhedonia, aislamiento), e hiperactivación (hipervigilancia, respuesta de sobresalto exagerada, insomnio, irritabilidad, conductas autodestructivas).</w:t>
      </w:r>
    </w:p>
    <w:p w:rsidR="00000000" w:rsidDel="00000000" w:rsidP="00000000" w:rsidRDefault="00000000" w:rsidRPr="00000000" w14:paraId="0000003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Trastorno obsesivo-compulsivo (TOC): presencia de obsesiones (pensamientos, imágenes o impulsos intrusivos, recurrentes y no deseados que generan ansiedad marcada) o compulsiones (comportamientos o actos mentales repetitivos realizados en respuesta a la obsesión para reducir la ansiedad) que consumen más de una hora diaria o causan deterioro funcional significativo. El TOC fue reclasificado fuera de los trastornos de ansiedad en el DSM-5 pero se incluye en este protocolo por su manejo en el mismo contexto clínico y por los recursos de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compartidos.</w:t>
      </w:r>
    </w:p>
    <w:p w:rsidR="00000000" w:rsidDel="00000000" w:rsidP="00000000" w:rsidRDefault="00000000" w:rsidRPr="00000000" w14:paraId="00000031">
      <w:pPr>
        <w:jc w:val="both"/>
        <w:rPr>
          <w:rFonts w:ascii="Arial" w:cs="Arial" w:eastAsia="Arial" w:hAnsi="Arial"/>
          <w:sz w:val="24"/>
          <w:szCs w:val="24"/>
        </w:rPr>
      </w:pPr>
      <w:sdt>
        <w:sdtPr>
          <w:id w:val="1975557760"/>
          <w:tag w:val="goog_rdk_0"/>
        </w:sdtPr>
        <w:sdtContent>
          <w:r w:rsidDel="00000000" w:rsidR="00000000" w:rsidRPr="00000000">
            <w:rPr>
              <w:rFonts w:ascii="Arial Unicode MS" w:cs="Arial Unicode MS" w:eastAsia="Arial Unicode MS" w:hAnsi="Arial Unicode MS"/>
              <w:sz w:val="24"/>
              <w:szCs w:val="24"/>
              <w:rtl w:val="0"/>
            </w:rPr>
            <w:t xml:space="preserve">Escala GAD-7 (Generalized Anxiety Disorder 7-item scale): instrumento de tamizaje y seguimiento de los trastornos de ansiedad, validado en Colombia, de rápida aplicación. Evalúa 7 síntomas de ansiedad generalizada en las últimas 2 semanas. Clasificación: 0-4 ansiedad mínima; 5-9 ansiedad leve; 10-14 ansiedad moderada; 15-21 ansiedad severa. Un puntaje ≥ 10 tiene sensibilidad del 89% y especificidad del 82% para el diagnóstico de TAG. También detecta el trastorno de pánico y la fobia social con sensibilidad moderada.</w:t>
          </w:r>
        </w:sdtContent>
      </w:sdt>
    </w:p>
    <w:p w:rsidR="00000000" w:rsidDel="00000000" w:rsidP="00000000" w:rsidRDefault="00000000" w:rsidRPr="00000000" w14:paraId="00000032">
      <w:pPr>
        <w:jc w:val="both"/>
        <w:rPr>
          <w:rFonts w:ascii="Arial" w:cs="Arial" w:eastAsia="Arial" w:hAnsi="Arial"/>
          <w:sz w:val="24"/>
          <w:szCs w:val="24"/>
        </w:rPr>
      </w:pPr>
      <w:sdt>
        <w:sdtPr>
          <w:id w:val="508979847"/>
          <w:tag w:val="goog_rdk_1"/>
        </w:sdtPr>
        <w:sdtContent>
          <w:r w:rsidDel="00000000" w:rsidR="00000000" w:rsidRPr="00000000">
            <w:rPr>
              <w:rFonts w:ascii="Arial Unicode MS" w:cs="Arial Unicode MS" w:eastAsia="Arial Unicode MS" w:hAnsi="Arial Unicode MS"/>
              <w:sz w:val="24"/>
              <w:szCs w:val="24"/>
              <w:rtl w:val="0"/>
            </w:rPr>
            <w:t xml:space="preserve">Escala PCL-5 (PTSD Checklist for DSM-5): instrumento de tamizaje de 20 ítems para la detección del TEPT. Una puntuación ≥ 33 es sugestiva de TEPT. Se emplea en la teleexperticia para la detección sistemática del TEPT en poblaciones con alta exposición al trauma (víctimas del conflicto armado, sobrevivientes de violencia sexual, comunidades en situación de desplazamiento).</w:t>
          </w:r>
        </w:sdtContent>
      </w:sdt>
    </w:p>
    <w:p w:rsidR="00000000" w:rsidDel="00000000" w:rsidP="00000000" w:rsidRDefault="00000000" w:rsidRPr="00000000" w14:paraId="00000033">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Dependencia iatrogénica a benzodiacepinas: síndrome de dependencia física y psicológica a las benzodiacepinas generado por su prescripción médica prolongada (más de 4 semanas de uso continuo), frecuentemente en el contexto del manejo del insomnio o la ansiedad. Es una de las complicaciones más frecuentes del tratamiento no especializado de los trastornos de ansiedad en Colombia y genera una población de pacientes con tolerancia, síndrome de abstinencia ante la reducción de la dosis y dificultad para descontinuar el medicamento.</w:t>
      </w:r>
    </w:p>
    <w:p w:rsidR="00000000" w:rsidDel="00000000" w:rsidP="00000000" w:rsidRDefault="00000000" w:rsidRPr="00000000" w14:paraId="0000003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Farmacología crítica del protocolo: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Sertralina 50-200 mg/día vía oral: ISRS de primera línea para TAG, trastorno de pánico, fobia social y TEPT. Inicio de acción ansiolítica gradual a las 2-4 semanas. Advertencia crítica: en las primeras 1-2 semanas puede generar incremento transitorio de la ansiedad y activación; informar al paciente antes de iniciar para prevenir el abandono por este efecto inicial.</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Escitalopram 10-20 mg/día vía oral: ISRS de primera línea alternativa con el perfil de tolerabilidad más favorable. Especialmente útil en TAG y trastorno de pánico. Iniciar a 5-10 mg/día en el trastorno de pánico para minimizar el efecto de activación inicial.</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Venlafaxina 75-225 mg/día vía oral (IRSN): primera línea en TAG (aprobación FDA), trastorno de pánico y fobia social. Eficacia superior a los ISRS en algunas medidas de ansiedad generalizada a dosis altas. Vigilar tension arterial a dosis &gt; 150 mg/día.</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Paroxetina 20-60 mg/día vía oral: ISRS con aprobación para TAG, trastorno de pánico, fobia social, TEPT y TOC. Mayor perfil sedante que otros ISRS (ventaja en ansiedad con insomnio). Mayor riesgo de síndrome de discontinuación por su vida media corta: nunca suspender de forma abrupta; reducción gradual del 10% de la dosis cada 2-4 semanas.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Pregabalina 150-600 mg/día vía oral: antiepiléptico con eficacia demostrada en TAG. Alternativa cuando los ISRS no son tolerados o en TAG con dolor crónico comórbido. Inicio de acción más rápido que los ISRS (1-2 semanas). Riesgo de dependencia con uso prolongado; uso con precaución en pacientes con antecedente de TUS.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Buspirona 15-60 mg/día vía oral: ansiolítico no benzodiacepínico para el TAG. Sin riesgo de dependencia ni de sedación significativa. Inicio de acción lento (2-4 semanas). No es efectiva en el trastorno de pánico ni en las crisis agudas de ansiedad.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Benzodiacepinas (lorazepam, clonazepam, alprazolam): indicadas exclusivamente para el manejo a corto plazo (máximo 2-4 semanas) de la ansiedad aguda severa mientras se establece el efecto del antidepresivo ansiolítico. No son tratamiento de primera línea de los trastornos de ansiedad por su riesgo de dependencia, tolerancia y deterioro cognitivo a largo plazo. El clonazepam tiene vida media más larga y menor riesgo de síndrome de discontinuación que el alprazolam. Contraindicadas como único tratamiento en el TEPT por riesgo de agravamiento de los síntomas disociativos.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Sertralina o paroxetina en TEPT: primera línea farmacológica con mayor evidencia en el TEPT. La prazosin 1-15 mg nocturna tiene evidencia específica para las pesadillas del TEPT y puede añadirse como adyuvante cuando este síntoma es prominente.</w:t>
      </w:r>
    </w:p>
    <w:p w:rsidR="00000000" w:rsidDel="00000000" w:rsidP="00000000" w:rsidRDefault="00000000" w:rsidRPr="00000000" w14:paraId="0000003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Flujo Operativo y Clínico en Telesalud</w:t>
      </w:r>
    </w:p>
    <w:p w:rsidR="00000000" w:rsidDel="00000000" w:rsidP="00000000" w:rsidRDefault="00000000" w:rsidRPr="00000000" w14:paraId="0000003E">
      <w:pPr>
        <w:rPr/>
      </w:pPr>
      <w:r w:rsidDel="00000000" w:rsidR="00000000" w:rsidRPr="00000000">
        <w:rPr>
          <w:rtl w:val="0"/>
        </w:rPr>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8"/>
        <w:gridCol w:w="1885"/>
        <w:gridCol w:w="1600"/>
        <w:gridCol w:w="3495"/>
        <w:tblGridChange w:id="0">
          <w:tblGrid>
            <w:gridCol w:w="1848"/>
            <w:gridCol w:w="1885"/>
            <w:gridCol w:w="1600"/>
            <w:gridCol w:w="3495"/>
          </w:tblGrid>
        </w:tblGridChange>
      </w:tblGrid>
      <w:tr>
        <w:trPr>
          <w:cantSplit w:val="0"/>
          <w:tblHeader w:val="0"/>
        </w:trPr>
        <w:tc>
          <w:tcPr/>
          <w:p w:rsidR="00000000" w:rsidDel="00000000" w:rsidP="00000000" w:rsidRDefault="00000000" w:rsidRPr="00000000" w14:paraId="0000003F">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Etapa</w:t>
            </w:r>
            <w:r w:rsidDel="00000000" w:rsidR="00000000" w:rsidRPr="00000000">
              <w:rPr>
                <w:rtl w:val="0"/>
              </w:rPr>
            </w:r>
          </w:p>
        </w:tc>
        <w:tc>
          <w:tcPr/>
          <w:p w:rsidR="00000000" w:rsidDel="00000000" w:rsidP="00000000" w:rsidRDefault="00000000" w:rsidRPr="00000000" w14:paraId="00000040">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Actividad</w:t>
            </w:r>
            <w:r w:rsidDel="00000000" w:rsidR="00000000" w:rsidRPr="00000000">
              <w:rPr>
                <w:rtl w:val="0"/>
              </w:rPr>
            </w:r>
          </w:p>
        </w:tc>
        <w:tc>
          <w:tcPr/>
          <w:p w:rsidR="00000000" w:rsidDel="00000000" w:rsidP="00000000" w:rsidRDefault="00000000" w:rsidRPr="00000000" w14:paraId="00000041">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Responsable</w:t>
            </w:r>
            <w:r w:rsidDel="00000000" w:rsidR="00000000" w:rsidRPr="00000000">
              <w:rPr>
                <w:rtl w:val="0"/>
              </w:rPr>
            </w:r>
          </w:p>
        </w:tc>
        <w:tc>
          <w:tcPr/>
          <w:p w:rsidR="00000000" w:rsidDel="00000000" w:rsidP="00000000" w:rsidRDefault="00000000" w:rsidRPr="00000000" w14:paraId="00000042">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Acción / Canales</w:t>
            </w:r>
            <w:r w:rsidDel="00000000" w:rsidR="00000000" w:rsidRPr="00000000">
              <w:rPr>
                <w:rtl w:val="0"/>
              </w:rPr>
            </w:r>
          </w:p>
        </w:tc>
      </w:tr>
      <w:tr>
        <w:trPr>
          <w:cantSplit w:val="0"/>
          <w:tblHeader w:val="0"/>
        </w:trPr>
        <w:tc>
          <w:tcPr/>
          <w:p w:rsidR="00000000" w:rsidDel="00000000" w:rsidP="00000000" w:rsidRDefault="00000000" w:rsidRPr="00000000" w14:paraId="00000043">
            <w:pPr>
              <w:rPr>
                <w:rFonts w:ascii="Arial" w:cs="Arial" w:eastAsia="Arial" w:hAnsi="Arial"/>
                <w:sz w:val="24"/>
                <w:szCs w:val="24"/>
              </w:rPr>
            </w:pPr>
            <w:r w:rsidDel="00000000" w:rsidR="00000000" w:rsidRPr="00000000">
              <w:rPr>
                <w:rFonts w:ascii="Arial" w:cs="Arial" w:eastAsia="Arial" w:hAnsi="Arial"/>
                <w:sz w:val="24"/>
                <w:szCs w:val="24"/>
                <w:rtl w:val="0"/>
              </w:rPr>
              <w:t xml:space="preserve">1. Identificación y medidas inmediatas</w:t>
            </w:r>
          </w:p>
        </w:tc>
        <w:tc>
          <w:tcPr/>
          <w:p w:rsidR="00000000" w:rsidDel="00000000" w:rsidP="00000000" w:rsidRDefault="00000000" w:rsidRPr="00000000" w14:paraId="00000044">
            <w:pPr>
              <w:rPr>
                <w:rFonts w:ascii="Arial" w:cs="Arial" w:eastAsia="Arial" w:hAnsi="Arial"/>
                <w:sz w:val="24"/>
                <w:szCs w:val="24"/>
              </w:rPr>
            </w:pPr>
            <w:sdt>
              <w:sdtPr>
                <w:id w:val="471668314"/>
                <w:tag w:val="goog_rdk_2"/>
              </w:sdtPr>
              <w:sdtContent>
                <w:r w:rsidDel="00000000" w:rsidR="00000000" w:rsidRPr="00000000">
                  <w:rPr>
                    <w:rFonts w:ascii="Arial Unicode MS" w:cs="Arial Unicode MS" w:eastAsia="Arial Unicode MS" w:hAnsi="Arial Unicode MS"/>
                    <w:sz w:val="24"/>
                    <w:szCs w:val="24"/>
                    <w:rtl w:val="0"/>
                  </w:rPr>
                  <w:t xml:space="preserve">Aplicar el GAD-7 de forma sistemática en toda consulta de adultos con síntomas somáticos funcionales de repetición (dolor torácico sin causa cardiológica, palpitaciones, disnea, mareos, cefalea tensional recurrente) o ante la consulta directa por ansiedad, nerviosismo, ataques de pánico, miedo a lugares o situaciones específicas, o síntomas de TEPT. En pacientes con exposición al conflicto armado, violencia sexual o desplazamiento: aplicar también la PCL-5 para tamizaje de TEPT. Evaluar de inmediato el PHQ-9 en todo paciente con GAD-7 ≥ 10, dado que la comorbilidad depresión-ansiedad supera el 50% y modifica la conducta terapéutica. En crisis de pánico activa al momento de la consulta: iniciar psicoeducación inmediata sobre la naturaleza de los síntomas (benignidad, ausencia de peligro vital), técnicas de respiración controlada y, si corresponde, lorazepam 1 mg vía oral como medida de contención aguda bajo supervisión.</w:t>
                </w:r>
              </w:sdtContent>
            </w:sdt>
          </w:p>
        </w:tc>
        <w:tc>
          <w:tcPr/>
          <w:p w:rsidR="00000000" w:rsidDel="00000000" w:rsidP="00000000" w:rsidRDefault="00000000" w:rsidRPr="00000000" w14:paraId="00000045">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asistencial presencial (médico general, enfermería, psicología del nivel primario)</w:t>
            </w:r>
          </w:p>
        </w:tc>
        <w:tc>
          <w:tcPr/>
          <w:p w:rsidR="00000000" w:rsidDel="00000000" w:rsidP="00000000" w:rsidRDefault="00000000" w:rsidRPr="00000000" w14:paraId="00000046">
            <w:pPr>
              <w:rPr>
                <w:rFonts w:ascii="Arial" w:cs="Arial" w:eastAsia="Arial" w:hAnsi="Arial"/>
                <w:sz w:val="24"/>
                <w:szCs w:val="24"/>
              </w:rPr>
            </w:pPr>
            <w:r w:rsidDel="00000000" w:rsidR="00000000" w:rsidRPr="00000000">
              <w:rPr>
                <w:rFonts w:ascii="Arial" w:cs="Arial" w:eastAsia="Arial" w:hAnsi="Arial"/>
                <w:sz w:val="24"/>
                <w:szCs w:val="24"/>
                <w:rtl w:val="0"/>
              </w:rPr>
              <w:t xml:space="preserve">El tamizaje con GAD-7 no requiere activar la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puede realizarse de forma autónoma por el remisor capacitado. La </w:t>
            </w:r>
            <w:r w:rsidDel="00000000" w:rsidR="00000000" w:rsidRPr="00000000">
              <w:rPr>
                <w:rFonts w:ascii="Arial" w:cs="Arial" w:eastAsia="Arial" w:hAnsi="Arial"/>
                <w:sz w:val="24"/>
                <w:szCs w:val="24"/>
                <w:rtl w:val="0"/>
              </w:rPr>
              <w:t xml:space="preserve">teleexperticia</w:t>
            </w:r>
            <w:sdt>
              <w:sdtPr>
                <w:id w:val="-878503908"/>
                <w:tag w:val="goog_rdk_3"/>
              </w:sdtPr>
              <w:sdtContent>
                <w:r w:rsidDel="00000000" w:rsidR="00000000" w:rsidRPr="00000000">
                  <w:rPr>
                    <w:rFonts w:ascii="Arial Unicode MS" w:cs="Arial Unicode MS" w:eastAsia="Arial Unicode MS" w:hAnsi="Arial Unicode MS"/>
                    <w:sz w:val="24"/>
                    <w:szCs w:val="24"/>
                    <w:rtl w:val="0"/>
                  </w:rPr>
                  <w:t xml:space="preserve"> se activa ante GAD-7 ≥ 10, sospecha de TEPT, TOC, trastorno de pánico con agorafobia severa, falla al primer tratamiento, o dependencia a benzodiacepinas establecida.</w:t>
                </w:r>
              </w:sdtContent>
            </w:sdt>
          </w:p>
        </w:tc>
      </w:tr>
      <w:tr>
        <w:trPr>
          <w:cantSplit w:val="0"/>
          <w:tblHeader w:val="0"/>
        </w:trPr>
        <w:tc>
          <w:tcPr/>
          <w:p w:rsidR="00000000" w:rsidDel="00000000" w:rsidP="00000000" w:rsidRDefault="00000000" w:rsidRPr="00000000" w14:paraId="00000047">
            <w:pPr>
              <w:rPr>
                <w:rFonts w:ascii="Arial" w:cs="Arial" w:eastAsia="Arial" w:hAnsi="Arial"/>
                <w:sz w:val="24"/>
                <w:szCs w:val="24"/>
              </w:rPr>
            </w:pPr>
            <w:r w:rsidDel="00000000" w:rsidR="00000000" w:rsidRPr="00000000">
              <w:rPr>
                <w:rFonts w:ascii="Arial" w:cs="Arial" w:eastAsia="Arial" w:hAnsi="Arial"/>
                <w:sz w:val="24"/>
                <w:szCs w:val="24"/>
                <w:rtl w:val="0"/>
              </w:rPr>
              <w:t xml:space="preserve">2. Verificación y consentimiento</w:t>
            </w:r>
          </w:p>
        </w:tc>
        <w:tc>
          <w:tcPr/>
          <w:p w:rsidR="00000000" w:rsidDel="00000000" w:rsidP="00000000" w:rsidRDefault="00000000" w:rsidRPr="00000000" w14:paraId="00000048">
            <w:pPr>
              <w:rPr>
                <w:rFonts w:ascii="Arial" w:cs="Arial" w:eastAsia="Arial" w:hAnsi="Arial"/>
                <w:sz w:val="24"/>
                <w:szCs w:val="24"/>
              </w:rPr>
            </w:pPr>
            <w:r w:rsidDel="00000000" w:rsidR="00000000" w:rsidRPr="00000000">
              <w:rPr>
                <w:rFonts w:ascii="Arial" w:cs="Arial" w:eastAsia="Arial" w:hAnsi="Arial"/>
                <w:sz w:val="24"/>
                <w:szCs w:val="24"/>
                <w:rtl w:val="0"/>
              </w:rPr>
              <w:t xml:space="preserve">Confirmar la identidad del paciente y obtener el consentimiento informado para la atención por telemedicina. Garantizar la privacidad de la consulta, especialmente en pacientes con TEPT relacionado con violencia sexual o doméstica, donde la presencia de terceros puede inhibir la revelación del trauma y comprometer la seguridad del paciente. Verificar que el paciente comprende que la teleconsulta tiene la misma confidencialidad que la atención presencial.</w:t>
            </w:r>
          </w:p>
        </w:tc>
        <w:tc>
          <w:tcPr/>
          <w:p w:rsidR="00000000" w:rsidDel="00000000" w:rsidP="00000000" w:rsidRDefault="00000000" w:rsidRPr="00000000" w14:paraId="00000049">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Remisor / Profesional solicitante</w:t>
            </w:r>
          </w:p>
        </w:tc>
        <w:tc>
          <w:tcPr/>
          <w:p w:rsidR="00000000" w:rsidDel="00000000" w:rsidP="00000000" w:rsidRDefault="00000000" w:rsidRPr="00000000" w14:paraId="0000004A">
            <w:pPr>
              <w:rPr>
                <w:rFonts w:ascii="Arial" w:cs="Arial" w:eastAsia="Arial" w:hAnsi="Arial"/>
                <w:sz w:val="24"/>
                <w:szCs w:val="24"/>
              </w:rPr>
            </w:pPr>
            <w:r w:rsidDel="00000000" w:rsidR="00000000" w:rsidRPr="00000000">
              <w:rPr>
                <w:rFonts w:ascii="Arial" w:cs="Arial" w:eastAsia="Arial" w:hAnsi="Arial"/>
                <w:sz w:val="24"/>
                <w:szCs w:val="24"/>
                <w:rtl w:val="0"/>
              </w:rPr>
              <w:t xml:space="preserve">Organizar la información bajo el modelo SBAR: puntaje del GAD-7 y PCL-5 si aplica, tipo de síntomas predominantes (somáticos, cognitivos, conductuales), duración del cuadro, tratamientos previos intentados y su resultado, comorbilidades, medicación actual incluidas las benzodiacepinas (dosis, duración de uso), y nivel de deterioro funcional.</w:t>
            </w:r>
          </w:p>
        </w:tc>
      </w:tr>
      <w:tr>
        <w:trPr>
          <w:cantSplit w:val="0"/>
          <w:tblHeader w:val="0"/>
        </w:trPr>
        <w:tc>
          <w:tcPr/>
          <w:p w:rsidR="00000000" w:rsidDel="00000000" w:rsidP="00000000" w:rsidRDefault="00000000" w:rsidRPr="00000000" w14:paraId="0000004B">
            <w:pPr>
              <w:rPr>
                <w:rFonts w:ascii="Arial" w:cs="Arial" w:eastAsia="Arial" w:hAnsi="Arial"/>
                <w:sz w:val="24"/>
                <w:szCs w:val="24"/>
              </w:rPr>
            </w:pPr>
            <w:r w:rsidDel="00000000" w:rsidR="00000000" w:rsidRPr="00000000">
              <w:rPr>
                <w:rFonts w:ascii="Arial" w:cs="Arial" w:eastAsia="Arial" w:hAnsi="Arial"/>
                <w:sz w:val="24"/>
                <w:szCs w:val="24"/>
                <w:rtl w:val="0"/>
              </w:rPr>
              <w:t xml:space="preserve">3. Diligenciamiento y envío de datos</w:t>
            </w:r>
          </w:p>
        </w:tc>
        <w:tc>
          <w:tcPr/>
          <w:p w:rsidR="00000000" w:rsidDel="00000000" w:rsidP="00000000" w:rsidRDefault="00000000" w:rsidRPr="00000000" w14:paraId="0000004C">
            <w:pPr>
              <w:rPr>
                <w:rFonts w:ascii="Arial" w:cs="Arial" w:eastAsia="Arial" w:hAnsi="Arial"/>
                <w:sz w:val="24"/>
                <w:szCs w:val="24"/>
              </w:rPr>
            </w:pPr>
            <w:r w:rsidDel="00000000" w:rsidR="00000000" w:rsidRPr="00000000">
              <w:rPr>
                <w:rFonts w:ascii="Arial" w:cs="Arial" w:eastAsia="Arial" w:hAnsi="Arial"/>
                <w:sz w:val="24"/>
                <w:szCs w:val="24"/>
                <w:rtl w:val="0"/>
              </w:rPr>
              <w:t xml:space="preserve">Registrar en la historia clínica y notificar al centro referente: puntaje del GAD-7 (y PCL-5 si aplica), tipo de trastorno de ansiedad presunto, tiempo de evolución, tratamientos previos y respuesta, medicación actual con especial atención al uso de benzodiacepinas (tipo, dosis, duración), comorbilidades médicas y psiquiátricas, y nivel de deterioro funcional (laboral, social, familiar).</w:t>
            </w:r>
          </w:p>
        </w:tc>
        <w:tc>
          <w:tcPr/>
          <w:p w:rsidR="00000000" w:rsidDel="00000000" w:rsidP="00000000" w:rsidRDefault="00000000" w:rsidRPr="00000000" w14:paraId="0000004D">
            <w:pPr>
              <w:rPr>
                <w:rFonts w:ascii="Arial" w:cs="Arial" w:eastAsia="Arial" w:hAnsi="Arial"/>
                <w:sz w:val="24"/>
                <w:szCs w:val="24"/>
              </w:rPr>
            </w:pPr>
            <w:r w:rsidDel="00000000" w:rsidR="00000000" w:rsidRPr="00000000">
              <w:rPr>
                <w:rFonts w:ascii="Arial" w:cs="Arial" w:eastAsia="Arial" w:hAnsi="Arial"/>
                <w:sz w:val="24"/>
                <w:szCs w:val="24"/>
                <w:rtl w:val="0"/>
              </w:rPr>
              <w:t xml:space="preserve">Profesional solicitante</w:t>
            </w:r>
          </w:p>
        </w:tc>
        <w:tc>
          <w:tcPr/>
          <w:p w:rsidR="00000000" w:rsidDel="00000000" w:rsidP="00000000" w:rsidRDefault="00000000" w:rsidRPr="00000000" w14:paraId="0000004E">
            <w:pPr>
              <w:rPr>
                <w:rFonts w:ascii="Arial" w:cs="Arial" w:eastAsia="Arial" w:hAnsi="Arial"/>
                <w:sz w:val="24"/>
                <w:szCs w:val="24"/>
              </w:rPr>
            </w:pPr>
            <w:r w:rsidDel="00000000" w:rsidR="00000000" w:rsidRPr="00000000">
              <w:rPr>
                <w:rFonts w:ascii="Arial" w:cs="Arial" w:eastAsia="Arial" w:hAnsi="Arial"/>
                <w:sz w:val="24"/>
                <w:szCs w:val="24"/>
                <w:rtl w:val="0"/>
              </w:rPr>
              <w:t xml:space="preserve">Canales corporativos: líneas 3228234549 y 3228234532 — correo telemedicina.digital@hun.edu.co. Tiempo de conexión esperado: &lt; 24 horas para crisis de pánico frecuentes con deterioro funcional severo o TEPT con síntomas disociativos; &lt; 3 días hábiles para evaluación diagnóstica inicial de TAG o fobia social moderada a severa; &lt; 8 días hábiles para seguimiento y ajuste de tratamiento.</w:t>
            </w:r>
          </w:p>
        </w:tc>
      </w:tr>
      <w:tr>
        <w:trPr>
          <w:cantSplit w:val="0"/>
          <w:tblHeader w:val="0"/>
        </w:trPr>
        <w:tc>
          <w:tcPr/>
          <w:p w:rsidR="00000000" w:rsidDel="00000000" w:rsidP="00000000" w:rsidRDefault="00000000" w:rsidRPr="00000000" w14:paraId="0000004F">
            <w:pPr>
              <w:rPr>
                <w:rFonts w:ascii="Arial" w:cs="Arial" w:eastAsia="Arial" w:hAnsi="Arial"/>
                <w:sz w:val="24"/>
                <w:szCs w:val="24"/>
              </w:rPr>
            </w:pPr>
            <w:r w:rsidDel="00000000" w:rsidR="00000000" w:rsidRPr="00000000">
              <w:rPr>
                <w:rFonts w:ascii="Arial" w:cs="Arial" w:eastAsia="Arial" w:hAnsi="Arial"/>
                <w:sz w:val="24"/>
                <w:szCs w:val="24"/>
                <w:rtl w:val="0"/>
              </w:rPr>
              <w:t xml:space="preserve">4. Recepción y validación</w:t>
            </w:r>
          </w:p>
        </w:tc>
        <w:tc>
          <w:tcPr/>
          <w:p w:rsidR="00000000" w:rsidDel="00000000" w:rsidP="00000000" w:rsidRDefault="00000000" w:rsidRPr="00000000" w14:paraId="00000050">
            <w:pPr>
              <w:rPr>
                <w:rFonts w:ascii="Arial" w:cs="Arial" w:eastAsia="Arial" w:hAnsi="Arial"/>
                <w:sz w:val="24"/>
                <w:szCs w:val="24"/>
              </w:rPr>
            </w:pPr>
            <w:r w:rsidDel="00000000" w:rsidR="00000000" w:rsidRPr="00000000">
              <w:rPr>
                <w:rFonts w:ascii="Arial" w:cs="Arial" w:eastAsia="Arial" w:hAnsi="Arial"/>
                <w:sz w:val="24"/>
                <w:szCs w:val="24"/>
                <w:rtl w:val="0"/>
              </w:rPr>
              <w:t xml:space="preserve">Recibir la información clínica, clasificar la prioridad según el tipo de trastorno y la severidad, establecer el enlace sincrónico de video y registrar la apertura del caso en Hosvital. El psiquiatra realiza la evaluación inicial del estado mental: observación del nivel de activación autonómica, la tensión muscular, el habla acelerada o la evitación del contacto visual.</w:t>
            </w:r>
          </w:p>
        </w:tc>
        <w:tc>
          <w:tcPr/>
          <w:p w:rsidR="00000000" w:rsidDel="00000000" w:rsidP="00000000" w:rsidRDefault="00000000" w:rsidRPr="00000000" w14:paraId="00000051">
            <w:pPr>
              <w:rPr>
                <w:rFonts w:ascii="Arial" w:cs="Arial" w:eastAsia="Arial" w:hAnsi="Arial"/>
                <w:sz w:val="24"/>
                <w:szCs w:val="24"/>
              </w:rPr>
            </w:pPr>
            <w:r w:rsidDel="00000000" w:rsidR="00000000" w:rsidRPr="00000000">
              <w:rPr>
                <w:rFonts w:ascii="Arial" w:cs="Arial" w:eastAsia="Arial" w:hAnsi="Arial"/>
                <w:sz w:val="24"/>
                <w:szCs w:val="24"/>
                <w:rtl w:val="0"/>
              </w:rPr>
              <w:t xml:space="preserve">Centro Referente / Psiquiatra referente</w:t>
            </w:r>
          </w:p>
        </w:tc>
        <w:tc>
          <w:tcPr/>
          <w:p w:rsidR="00000000" w:rsidDel="00000000" w:rsidP="00000000" w:rsidRDefault="00000000" w:rsidRPr="00000000" w14:paraId="00000052">
            <w:pPr>
              <w:rPr>
                <w:rFonts w:ascii="Arial" w:cs="Arial" w:eastAsia="Arial" w:hAnsi="Arial"/>
                <w:sz w:val="24"/>
                <w:szCs w:val="24"/>
              </w:rPr>
            </w:pPr>
            <w:r w:rsidDel="00000000" w:rsidR="00000000" w:rsidRPr="00000000">
              <w:rPr>
                <w:rFonts w:ascii="Arial" w:cs="Arial" w:eastAsia="Arial" w:hAnsi="Arial"/>
                <w:sz w:val="24"/>
                <w:szCs w:val="24"/>
                <w:rtl w:val="0"/>
              </w:rPr>
              <w:t xml:space="preserve">Cargue y apertura de caso en Hosvital. En pacientes con TEPT: el psiquiatra adopta desde la conexión una postura de atención sensible al trauma — voz calmada, ritmo lento, sin presionar para la revelación del evento traumático antes de establecer la alianza terapéutica.</w:t>
            </w:r>
          </w:p>
        </w:tc>
      </w:tr>
      <w:tr>
        <w:trPr>
          <w:cantSplit w:val="0"/>
          <w:tblHeader w:val="0"/>
        </w:trPr>
        <w:tc>
          <w:tcPr/>
          <w:p w:rsidR="00000000" w:rsidDel="00000000" w:rsidP="00000000" w:rsidRDefault="00000000" w:rsidRPr="00000000" w14:paraId="00000053">
            <w:pPr>
              <w:rPr>
                <w:rFonts w:ascii="Arial" w:cs="Arial" w:eastAsia="Arial" w:hAnsi="Arial"/>
                <w:sz w:val="24"/>
                <w:szCs w:val="24"/>
              </w:rPr>
            </w:pPr>
            <w:r w:rsidDel="00000000" w:rsidR="00000000" w:rsidRPr="00000000">
              <w:rPr>
                <w:rFonts w:ascii="Arial" w:cs="Arial" w:eastAsia="Arial" w:hAnsi="Arial"/>
                <w:sz w:val="24"/>
                <w:szCs w:val="24"/>
                <w:rtl w:val="0"/>
              </w:rPr>
              <w:t xml:space="preserve">5. Análisis y concepto clínico</w:t>
            </w:r>
          </w:p>
        </w:tc>
        <w:tc>
          <w:tcPr/>
          <w:p w:rsidR="00000000" w:rsidDel="00000000" w:rsidP="00000000" w:rsidRDefault="00000000" w:rsidRPr="00000000" w14:paraId="00000054">
            <w:pPr>
              <w:rPr>
                <w:rFonts w:ascii="Arial" w:cs="Arial" w:eastAsia="Arial" w:hAnsi="Arial"/>
                <w:sz w:val="24"/>
                <w:szCs w:val="24"/>
              </w:rPr>
            </w:pPr>
            <w:r w:rsidDel="00000000" w:rsidR="00000000" w:rsidRPr="00000000">
              <w:rPr>
                <w:rFonts w:ascii="Arial" w:cs="Arial" w:eastAsia="Arial" w:hAnsi="Arial"/>
                <w:sz w:val="24"/>
                <w:szCs w:val="24"/>
                <w:rtl w:val="0"/>
              </w:rPr>
              <w:t xml:space="preserve">El psiquiatra conduce o coorienta la evaluación diagnóstica completa: confirmación del diagnóstico específico del trastorno de ansiedad y clasificación de la severidad con GAD-7 o escala específica; descarte de causa orgánica de ansiedad (hipertiroidismo, feocromocitoma, hipoglucemia, arritmias, síndrome de abstinencia); evaluación de la comorbilidad depresiva con PHQ-9; evaluación del riesgo suicida con C-SSRS en toda depresión comórbida; identificación de la dependencia a benzodiacepinas y su severidad; evaluación del deterioro funcional y la calidad de vida. Define la conducta: psicoeducación más técnicas de relajación (ansiedad leve), tratamiento farmacológico más psicoterapia estructurada por teleconsulta (ansiedad moderada a severa), manejo de la dependencia a benzodiacepinas con tapering gradual guiado, o referencia a psicología para TCC formal. Prescribe el tratamiento de primera línea según el diagnóstico específico.</w:t>
            </w:r>
          </w:p>
        </w:tc>
        <w:tc>
          <w:tcPr/>
          <w:p w:rsidR="00000000" w:rsidDel="00000000" w:rsidP="00000000" w:rsidRDefault="00000000" w:rsidRPr="00000000" w14:paraId="00000055">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 Profesional solicitante</w:t>
            </w:r>
          </w:p>
        </w:tc>
        <w:tc>
          <w:tcPr/>
          <w:p w:rsidR="00000000" w:rsidDel="00000000" w:rsidP="00000000" w:rsidRDefault="00000000" w:rsidRPr="00000000" w14:paraId="00000056">
            <w:pPr>
              <w:rPr>
                <w:rFonts w:ascii="Arial" w:cs="Arial" w:eastAsia="Arial" w:hAnsi="Arial"/>
                <w:sz w:val="24"/>
                <w:szCs w:val="24"/>
              </w:rPr>
            </w:pPr>
            <w:r w:rsidDel="00000000" w:rsidR="00000000" w:rsidRPr="00000000">
              <w:rPr>
                <w:rFonts w:ascii="Arial" w:cs="Arial" w:eastAsia="Arial" w:hAnsi="Arial"/>
                <w:sz w:val="24"/>
                <w:szCs w:val="24"/>
                <w:rtl w:val="0"/>
              </w:rPr>
              <w:t xml:space="preserve">Historia clínica Hosvital. La evaluación en TEPT sigue el modelo de abordaje sensible al trauma: el psiquiatra no solicita la narración detallada del evento traumático en la primera consulta; se centra en los síntomas actuales y en la construcción de la alianza terapéutica. Nunca prescribir benzodiacepinas como único tratamiento del TEPT.</w:t>
            </w:r>
          </w:p>
        </w:tc>
      </w:tr>
      <w:tr>
        <w:trPr>
          <w:cantSplit w:val="0"/>
          <w:tblHeader w:val="0"/>
        </w:trPr>
        <w:tc>
          <w:tcPr/>
          <w:p w:rsidR="00000000" w:rsidDel="00000000" w:rsidP="00000000" w:rsidRDefault="00000000" w:rsidRPr="00000000" w14:paraId="00000057">
            <w:pPr>
              <w:rPr>
                <w:rFonts w:ascii="Arial" w:cs="Arial" w:eastAsia="Arial" w:hAnsi="Arial"/>
                <w:sz w:val="24"/>
                <w:szCs w:val="24"/>
              </w:rPr>
            </w:pPr>
            <w:r w:rsidDel="00000000" w:rsidR="00000000" w:rsidRPr="00000000">
              <w:rPr>
                <w:rFonts w:ascii="Arial" w:cs="Arial" w:eastAsia="Arial" w:hAnsi="Arial"/>
                <w:sz w:val="24"/>
                <w:szCs w:val="24"/>
                <w:rtl w:val="0"/>
              </w:rPr>
              <w:t xml:space="preserve">6. Envío de ordenamiento y cierre</w:t>
            </w:r>
          </w:p>
        </w:tc>
        <w:tc>
          <w:tcPr/>
          <w:p w:rsidR="00000000" w:rsidDel="00000000" w:rsidP="00000000" w:rsidRDefault="00000000" w:rsidRPr="00000000" w14:paraId="00000058">
            <w:pPr>
              <w:rPr>
                <w:rFonts w:ascii="Arial" w:cs="Arial" w:eastAsia="Arial" w:hAnsi="Arial"/>
                <w:sz w:val="24"/>
                <w:szCs w:val="24"/>
              </w:rPr>
            </w:pPr>
            <w:r w:rsidDel="00000000" w:rsidR="00000000" w:rsidRPr="00000000">
              <w:rPr>
                <w:rFonts w:ascii="Arial" w:cs="Arial" w:eastAsia="Arial" w:hAnsi="Arial"/>
                <w:sz w:val="24"/>
                <w:szCs w:val="24"/>
                <w:rtl w:val="0"/>
              </w:rPr>
              <w:t xml:space="preserve">Consolidar por escrito el concepto clínico: diagnóstico específico del trastorno de ansiedad, GAD-7 o PCL-5 basal, tratamiento prescrito con dosis y esquema de titulación, psicoterapia indicada (psicoeducación, técnicas de relajación, TCC por video, exposición gradual), plan de seguimiento (teleconsulta a las 2 semanas para tolerabilidad; a las 4 semanas para respuesta parcial; a las 8 semanas para respuesta completa; mensual en la fase de mantenimiento), señales de alarma para retorno urgente (intensificación de la ideación suicida, crisis de pánico con síncope o caída, síntomas disociativos severos en TEPT, abstinencia a benzodiacepinas con temblor o convulsiones), duración mínima del tratamiento (12 meses post-remisión en el primer episodio; tiempo indefinido en trastornos crónicos), y plan de reducción gradual de benzodiacepinas si hay dependencia establecida. Registrar obligatoriamente en ambos sistemas.</w:t>
            </w:r>
          </w:p>
        </w:tc>
        <w:tc>
          <w:tcPr/>
          <w:p w:rsidR="00000000" w:rsidDel="00000000" w:rsidP="00000000" w:rsidRDefault="00000000" w:rsidRPr="00000000" w14:paraId="00000059">
            <w:pPr>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y Centro Remisor</w:t>
            </w:r>
          </w:p>
        </w:tc>
        <w:tc>
          <w:tcPr/>
          <w:p w:rsidR="00000000" w:rsidDel="00000000" w:rsidP="00000000" w:rsidRDefault="00000000" w:rsidRPr="00000000" w14:paraId="0000005A">
            <w:pPr>
              <w:rPr>
                <w:rFonts w:ascii="Arial" w:cs="Arial" w:eastAsia="Arial" w:hAnsi="Arial"/>
                <w:sz w:val="24"/>
                <w:szCs w:val="24"/>
              </w:rPr>
            </w:pPr>
            <w:r w:rsidDel="00000000" w:rsidR="00000000" w:rsidRPr="00000000">
              <w:rPr>
                <w:rFonts w:ascii="Arial" w:cs="Arial" w:eastAsia="Arial" w:hAnsi="Arial"/>
                <w:sz w:val="24"/>
                <w:szCs w:val="24"/>
                <w:rtl w:val="0"/>
              </w:rPr>
              <w:t xml:space="preserve">A través de correo corporativo e historia clínica. El cierre incluye la entrega al paciente de material psicoeducativo básico sobre su trastorno específico y las técnicas de autoregulación disponibles entre sesiones (respiración diafragmática, técnica 5-4-3-2-1 para el manejo de la disociación en TEPT, técnica de exposición interoceptiva básica para el pánico).</w:t>
            </w:r>
          </w:p>
        </w:tc>
      </w:tr>
    </w:tbl>
    <w:p w:rsidR="00000000" w:rsidDel="00000000" w:rsidP="00000000" w:rsidRDefault="00000000" w:rsidRPr="00000000" w14:paraId="0000005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Criterios de Inclusión / Exclusión en Telesalud</w:t>
      </w:r>
    </w:p>
    <w:p w:rsidR="00000000" w:rsidDel="00000000" w:rsidP="00000000" w:rsidRDefault="00000000" w:rsidRPr="00000000" w14:paraId="0000005C">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para Teleconsulta de Primer Nivel (sin activación del psiquiatra referente)</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Ansiedad leve (GAD-7 5-9) sin comorbilidad depresiva significativa, sin TEPT y sin dependencia a benzodiacepinas: el médico general o psicólogo capacitado puede gestionar con psicoeducación, técnicas de relajación y activación conductual.</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Renovación de tratamiento ansiolítico en paciente estable en remisión, sin cambios en el cuadro clínico, para verificación de adherencia y estado general.</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Seguimiento de paciente en tapering de benzodiacepinas estable, ya iniciado y monitoreado por el especialista.</w:t>
      </w:r>
    </w:p>
    <w:p w:rsidR="00000000" w:rsidDel="00000000" w:rsidP="00000000" w:rsidRDefault="00000000" w:rsidRPr="00000000" w14:paraId="0000006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Inclusión para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Psiquiatra Referente</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517542237"/>
          <w:tag w:val="goog_rdk_4"/>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Ansiedad moderada a severa (GAD-7 ≥ 10) en primera evaluación, para diagnóstico diferencial completo e inicio del tratamiento.</w:t>
          </w:r>
        </w:sdtContent>
      </w:sdt>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Trastorno de pánico con crisis frecuentes (más de 1 por semana) o con agorafobia que limita la funcionalidad.</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41541140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Sospecha diagnóstica de TEPT (PCL-5 ≥ 33 o historia clínica sugestiva) para evaluación especializada y plan de tratamiento con abordaje sensible al trauma.</w:t>
          </w:r>
        </w:sdtContent>
      </w:sdt>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Sospecha de TOC con síntomas que consumen más de 1 hora diaria o generan deterioro funcional significativo.</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Dependencia establecida a benzodiacepinas (uso continuo &gt; 4 semanas con dificultad para reducir la dosis): evaluación del nivel de dependencia y diseño del plan de tapering gradual bajo supervisión.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Falla al primer tratamiento farmacológico (ausencia de respuesta parcial a las 4 semanas o de respuesta completa a las 8 semanas en dosis correcta): evaluación diagnóstica y redefinición del esquema terapéutico.</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Ansiedad en comorbilidad con depresión mayor, TUS activo o trastorno de personalidad.</w:t>
      </w:r>
    </w:p>
    <w:p w:rsidR="00000000" w:rsidDel="00000000" w:rsidP="00000000" w:rsidRDefault="00000000" w:rsidRPr="00000000" w14:paraId="0000006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Criterios de Exclusión (Atención Presencial Obligatoria)</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TEPT complejo con disociación severa (despersonalización y desrealización marcadas que impiden la participación en la teleconsulta) o con automutilación activa: evaluación psiquiátrica presencial.</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TOC refractario con deterioro funcional severo que requiere TCC intensiva o consideración de neurocirugía funcional: referencia a centro especializado presencial.</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Síndrome de abstinencia severa a benzodiacepinas con temblor, diaforesis intensa o convulsiones: remisión urgente a urgencias para desintoxicación hospitalaria supervisada.</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Crisis de pánico con síncope, convulsiones o estado de conciencia alterado: evaluación presencial en urgencias para </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descarte de</w:t>
      </w: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 causa orgánica.</w:t>
      </w:r>
    </w:p>
    <w:p w:rsidR="00000000" w:rsidDel="00000000" w:rsidP="00000000" w:rsidRDefault="00000000" w:rsidRPr="00000000" w14:paraId="0000006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Roles y Responsabilidades en Telesalud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Médico general / Profesional del nivel primario (Centro Remisor): responsable del tamizaje sistemático con GAD-7 y PCL-5, la identificación de los casos que requieren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el descarte básico de causas orgánicas de ansiedad (TSH, glucemia, electrocardiograma en trastorno de pánico de debut), la administración del tratamiento prescrito, el seguimiento de la adherencia y los efectos adversos, y la psicoeducación básica sobre la ansiedad. En el trastorno de pánico, puede realizar la psicoeducación de primera línea (explicación de la naturaleza benigna de los síntomas, el círculo vicioso del pánico y la importancia de la no evitación) como intervención autónoma de alta efectividad.</w:t>
      </w:r>
    </w:p>
    <w:p w:rsidR="00000000" w:rsidDel="00000000" w:rsidP="00000000" w:rsidRDefault="00000000" w:rsidRPr="00000000" w14:paraId="00000070">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Psiquiatra referente (Centro Referente): responsable de la evaluación diagnóstica diferencial completa, el inicio y ajuste del tratamiento farmacológico según el diagnóstico específico, el manejo de la dependencia a benzodiacepinas con diseño del plan de tapering individualizado, la evaluación del riesgo suicida en comorbilidades depresivas, la indicación de la modalidad psicoterapéutica más adecuada y la coordinación de la hospitalización cuando esté indicada.</w:t>
      </w:r>
    </w:p>
    <w:p w:rsidR="00000000" w:rsidDel="00000000" w:rsidP="00000000" w:rsidRDefault="00000000" w:rsidRPr="00000000" w14:paraId="00000071">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Psicología clínica (Centro Remisor o Referente): responsable de la psicoterapia estructurada por teleconferencia — terapia cognitivo-conductual para el trastorno de pánico, la fobia social y el TAG; terapia de procesamiento cognitivo o EMDR (Eye Movement Desensitization and Reprocessing) para el TEPT; exposición con prevención de respuesta para el TOC. Trabaja en coordinación con el psiquiatra bajo el modelo de atención colaborativa. La psicoterapia es el tratamiento de primera línea en ansiedad leve a moderada y tiene eficacia equivalente a la farmacoterapia en el trastorno de pánico y el TAG.</w:t>
      </w:r>
    </w:p>
    <w:p w:rsidR="00000000" w:rsidDel="00000000" w:rsidP="00000000" w:rsidRDefault="00000000" w:rsidRPr="00000000" w14:paraId="00000072">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Trabajo social (Centro Remisor): responsable de la identificación de los determinantes sociales que perpetúan la ansiedad (violencia doméstica activa, condiciones de hacinamiento, desempleo, deuda económica severa), la articulación con las rutas de atención a las víctimas del conflicto armado y la violencia de género, y la gestión de los recursos comunitarios de apoyo en salud mental disponibles en el municipio.</w:t>
      </w:r>
    </w:p>
    <w:p w:rsidR="00000000" w:rsidDel="00000000" w:rsidP="00000000" w:rsidRDefault="00000000" w:rsidRPr="00000000" w14:paraId="0000007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Tiempos de Respuesta Sugeridos</w:t>
      </w:r>
    </w:p>
    <w:p w:rsidR="00000000" w:rsidDel="00000000" w:rsidP="00000000" w:rsidRDefault="00000000" w:rsidRPr="00000000" w14:paraId="0000007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Sistema de priorización:</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Urgencia (menos de 24 horas): TEPT en estado agudo con síntomas disociativos severos o conductas autodestructivas, trastorno de pánico con crisis de más de 3 por día que impiden el funcionamiento básico, ansiedad con comorbilidad depresiva severa con riesgo suicida activo.</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Prioritario (menos de 3 días hábiles): evaluación diagnóstica inicial de TAG severo, trastorno de pánico con agorafobia marcada, sospecha de TEPT, evaluación de dependencia a benzodiacepinas para inicio de tapering.</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Consulta (menos de 8 días hábiles): evaluación inicial de ansiedad moderada sin urgencia, ajuste de tratamiento, manejo de efectos adversos, seguimiento de tapering de benzodiacepinas estable.</w:t>
      </w:r>
    </w:p>
    <w:p w:rsidR="00000000" w:rsidDel="00000000" w:rsidP="00000000" w:rsidRDefault="00000000" w:rsidRPr="00000000" w14:paraId="0000007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Cronometría del seguimiento en trastornos de ansiedad: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Primera teleconsulta de seguimiento post-inicio del tratamiento: a los 14 días para evaluación de tolerabilidad — el incremento transitorio de la ansiedad en las primeras dos semanas de los ISRS es la causa más frecuente de abandono prematuro.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947759370"/>
          <w:tag w:val="goog_rdk_6"/>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Segunda teleconsulta: a las 4 semanas para evaluación de la respuesta parcial (meta: reducción ≥ 25% del GAD-7 basal).</w:t>
          </w:r>
        </w:sdtContent>
      </w:sdt>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sdt>
        <w:sdtPr>
          <w:id w:val="-1170293142"/>
          <w:tag w:val="goog_rdk_7"/>
        </w:sdtPr>
        <w:sdtContent>
          <w:r w:rsidDel="00000000" w:rsidR="00000000" w:rsidRPr="00000000">
            <w:rPr>
              <w:rFonts w:ascii="Arial Unicode MS" w:cs="Arial Unicode MS" w:eastAsia="Arial Unicode MS" w:hAnsi="Arial Unicode MS"/>
              <w:b w:val="0"/>
              <w:bCs w:val="0"/>
              <w:i w:val="0"/>
              <w:iCs w:val="0"/>
              <w:smallCaps w:val="0"/>
              <w:strike w:val="0"/>
              <w:color w:val="333333"/>
              <w:sz w:val="24"/>
              <w:szCs w:val="24"/>
              <w:u w:val="none"/>
              <w:shd w:fill="auto" w:val="clear"/>
              <w:vertAlign w:val="baseline"/>
              <w:rtl w:val="0"/>
            </w:rPr>
            <w:t xml:space="preserve">Tercera teleconsulta: a las 8 semanas para evaluación de la respuesta completa (meta: GAD-7 &lt; 5 o reducción ≥ 50%).</w:t>
          </w:r>
        </w:sdtContent>
      </w:sdt>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Fase de mantenimiento post-remisión: teleconsultas mensuales durante los primeros 6 meses; cada 2-3 meses en el segundo semestre; según necesidad a partir del segundo año.</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Tapering de benzodiacepinas: reducción de no más del 10-25% de la dosis cada 2-4 semanas, con teleconsulta de seguimiento en cada paso de la reducción. Duración total del tapering: entre 3 y 12 meses según la dosis diaria y el tiempo de uso.</w:t>
      </w:r>
    </w:p>
    <w:p w:rsidR="00000000" w:rsidDel="00000000" w:rsidP="00000000" w:rsidRDefault="00000000" w:rsidRPr="00000000" w14:paraId="0000007E">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Gestión de contingencias: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Crisis de pánico durante la teleconsulta: el psiquiatra guía en tiempo real las técnicas de manejo (respiración diafragmática 4-7-8, técnica de anclaje sensorial 5-4-3-2-1, reencuadre cognitivo de los síntomas) y permanece conectado hasta que la crisis ceda. Esta situación es una oportunidad terapéutica única para la psicoeducación experiencial sobre el pánico.</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Síntomas de abstinencia a benzodiacepinas durante el tapering: si aparecen síntomas de abstinencia marcados (insomnio severo, temblor, sudoración, ansiedad rebote intensa), el psiquiatra ralentiza el ritmo de reducción o estabiliza la dosis temporalmente antes de continuar. Nunca reiniciar la dosis previa completa si el tapering ya ha avanzado.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rFonts w:ascii="Arial" w:cs="Arial" w:eastAsia="Arial" w:hAnsi="Arial"/>
          <w:b w:val="0"/>
          <w:bCs w:val="0"/>
          <w:i w:val="0"/>
          <w:iCs w:val="0"/>
          <w:smallCaps w:val="0"/>
          <w:strike w:val="0"/>
          <w:color w:val="33333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333333"/>
          <w:sz w:val="24"/>
          <w:szCs w:val="24"/>
          <w:u w:val="none"/>
          <w:shd w:fill="auto" w:val="clear"/>
          <w:vertAlign w:val="baseline"/>
          <w:rtl w:val="0"/>
        </w:rPr>
        <w:t xml:space="preserve">Fallo de conectividad durante seguimiento de TEPT: el psiquiatra garantiza el contacto telefónico para verificar el estado del paciente. No se deja al paciente con TEPT en estado de activación emocional elevada sin resolución del contacto por fallo técnico.</w:t>
      </w:r>
    </w:p>
    <w:p w:rsidR="00000000" w:rsidDel="00000000" w:rsidP="00000000" w:rsidRDefault="00000000" w:rsidRPr="00000000" w14:paraId="0000008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Estrategias de Humanización Digital y Diálogo Intercultural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Psicoeducación como eje terapéutico: explicar a la persona con trastorno de ansiedad la naturaleza fisiológica de sus síntomas — la respuesta de alarma del sistema nervioso autónomo, el papel de la amígdala, el círculo vicioso de la evitación — tiene un efecto terapéutico inmediato en muchos pacientes, porque reemplaza la interpretación catastrófica de los síntomas ("me voy a morir", "me estoy volviendo loco") por una comprensión racional que reduce el miedo al miedo. La teleconsulta es un entorno ideal para esta psicoeducación, que puede acompañarse de diagramas o recursos visuales compartidos por pantalla.</w:t>
      </w:r>
    </w:p>
    <w:p w:rsidR="00000000" w:rsidDel="00000000" w:rsidP="00000000" w:rsidRDefault="00000000" w:rsidRPr="00000000" w14:paraId="00000085">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del paciente con múltiples consultas por síntomas somáticos: el paciente que lleva años consultando en urgencias y medicina general por palpitaciones, disnea o dolor torácico sin causa cardiológica identificada frecuentemente llega a la consulta de salud mental con escepticismo, frustración y sensación de no ser creído. El profesional debe validar explícitamente la realidad de los síntomas físicos ("sus síntomas son completamente reales, no están inventados") antes de introducir la explicación ansiosa, y evitar la percepción de que el diagnóstico psiquiátrico significa que "todo está en su cabeza".</w:t>
      </w:r>
    </w:p>
    <w:p w:rsidR="00000000" w:rsidDel="00000000" w:rsidP="00000000" w:rsidRDefault="00000000" w:rsidRPr="00000000" w14:paraId="00000086">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Atención sensible al trauma en el TEPT: el abordaje del TEPT en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requiere una formación específica en el modelo de atención sensible al trauma. Los principios fundamentales son: establecer la seguridad antes que el procesamiento del trauma, nunca presionar para la revelación del evento traumático antes de que el paciente esté listo, respetar el ritmo del paciente, dar control al paciente sobre el contenido y el ritmo de la sesión, y reconocer que la </w:t>
      </w:r>
      <w:r w:rsidDel="00000000" w:rsidR="00000000" w:rsidRPr="00000000">
        <w:rPr>
          <w:rFonts w:ascii="Arial" w:cs="Arial" w:eastAsia="Arial" w:hAnsi="Arial"/>
          <w:sz w:val="24"/>
          <w:szCs w:val="24"/>
          <w:rtl w:val="0"/>
        </w:rPr>
        <w:t xml:space="preserve">re-experimentación</w:t>
      </w:r>
      <w:r w:rsidDel="00000000" w:rsidR="00000000" w:rsidRPr="00000000">
        <w:rPr>
          <w:rFonts w:ascii="Arial" w:cs="Arial" w:eastAsia="Arial" w:hAnsi="Arial"/>
          <w:sz w:val="24"/>
          <w:szCs w:val="24"/>
          <w:rtl w:val="0"/>
        </w:rPr>
        <w:t xml:space="preserve"> del trauma durante la teleconsulta puede ser re-traumatizante si no se maneja adecuadamente.</w:t>
      </w:r>
    </w:p>
    <w:p w:rsidR="00000000" w:rsidDel="00000000" w:rsidP="00000000" w:rsidRDefault="00000000" w:rsidRPr="00000000" w14:paraId="00000087">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Abordaje intercultural de la ansiedad: en Colombia, los trastornos de ansiedad — especialmente el TEPT y la ansiedad relacionada con el conflicto armado — están profundamente imbricados con la historia política y social de las comunidades. El profesional debe reconocer que el sufrimiento de la persona no es solo individual sino también colectivo y contextual, y que la sanación no puede ser exclusivamente farmacológica: requiere el reconocimiento del daño, la reparación simbólica y la reconstrucción del tejido social. La articulación con los procesos comunitarios de atención psicosocial a víctimas del conflicto (PAPSIVI — Programa de Atención Psicosocial y Salud Integral a Víctimas) es un componente esencial del plan de tratamiento en estos casos.</w:t>
      </w:r>
    </w:p>
    <w:p w:rsidR="00000000" w:rsidDel="00000000" w:rsidP="00000000" w:rsidRDefault="00000000" w:rsidRPr="00000000" w14:paraId="00000088">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Manejo de la dependencia a benzodiacepinas sin estigmatización: los pacientes con dependencia iatrogénica a benzodiacepinas frecuentemente experimentan vergüenza y culpa al recibir este diagnóstico, especialmente cuando la dependencia fue generada por la prescripción repetida de su propio médico tratante. El profesional debe contextualizar la dependencia como una consecuencia predecible de la farmacología de las benzodiacepinas — no de una debilidad del paciente — y plantear el tapering como un proceso gradual, colaborativo y sin prisas, en el que el ritmo de reducción es acordado con el paciente y puede ajustarse según su tolerancia.</w:t>
      </w:r>
    </w:p>
    <w:p w:rsidR="00000000" w:rsidDel="00000000" w:rsidP="00000000" w:rsidRDefault="00000000" w:rsidRPr="00000000" w14:paraId="0000008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Indicadores de Calidad y Seguimiento</w:t>
      </w:r>
    </w:p>
    <w:p w:rsidR="00000000" w:rsidDel="00000000" w:rsidP="00000000" w:rsidRDefault="00000000" w:rsidRPr="00000000" w14:paraId="0000008A">
      <w:pPr>
        <w:rPr/>
      </w:pPr>
      <w:r w:rsidDel="00000000" w:rsidR="00000000" w:rsidRPr="00000000">
        <w:rPr>
          <w:rtl w:val="0"/>
        </w:rPr>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4"/>
        <w:gridCol w:w="2943"/>
        <w:gridCol w:w="2941"/>
        <w:tblGridChange w:id="0">
          <w:tblGrid>
            <w:gridCol w:w="2944"/>
            <w:gridCol w:w="2943"/>
            <w:gridCol w:w="2941"/>
          </w:tblGrid>
        </w:tblGridChange>
      </w:tblGrid>
      <w:tr>
        <w:trPr>
          <w:cantSplit w:val="0"/>
          <w:tblHeader w:val="0"/>
        </w:trPr>
        <w:tc>
          <w:tcPr/>
          <w:p w:rsidR="00000000" w:rsidDel="00000000" w:rsidP="00000000" w:rsidRDefault="00000000" w:rsidRPr="00000000" w14:paraId="0000008B">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Indicador</w:t>
            </w:r>
            <w:r w:rsidDel="00000000" w:rsidR="00000000" w:rsidRPr="00000000">
              <w:rPr>
                <w:rtl w:val="0"/>
              </w:rPr>
            </w:r>
          </w:p>
        </w:tc>
        <w:tc>
          <w:tcPr/>
          <w:p w:rsidR="00000000" w:rsidDel="00000000" w:rsidP="00000000" w:rsidRDefault="00000000" w:rsidRPr="00000000" w14:paraId="0000008C">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Definición</w:t>
            </w:r>
            <w:r w:rsidDel="00000000" w:rsidR="00000000" w:rsidRPr="00000000">
              <w:rPr>
                <w:rtl w:val="0"/>
              </w:rPr>
            </w:r>
          </w:p>
        </w:tc>
        <w:tc>
          <w:tcPr/>
          <w:p w:rsidR="00000000" w:rsidDel="00000000" w:rsidP="00000000" w:rsidRDefault="00000000" w:rsidRPr="00000000" w14:paraId="0000008D">
            <w:pP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Meta Sugerida</w:t>
            </w:r>
            <w:r w:rsidDel="00000000" w:rsidR="00000000" w:rsidRPr="00000000">
              <w:rPr>
                <w:rtl w:val="0"/>
              </w:rPr>
            </w:r>
          </w:p>
        </w:tc>
      </w:tr>
      <w:tr>
        <w:trPr>
          <w:cantSplit w:val="0"/>
          <w:tblHeader w:val="0"/>
        </w:trPr>
        <w:tc>
          <w:tcPr/>
          <w:p w:rsidR="00000000" w:rsidDel="00000000" w:rsidP="00000000" w:rsidRDefault="00000000" w:rsidRPr="00000000" w14:paraId="0000008E">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 tamizaje con GAD-7</w:t>
            </w:r>
          </w:p>
        </w:tc>
        <w:tc>
          <w:tcPr/>
          <w:p w:rsidR="00000000" w:rsidDel="00000000" w:rsidP="00000000" w:rsidRDefault="00000000" w:rsidRPr="00000000" w14:paraId="0000008F">
            <w:pPr>
              <w:rPr>
                <w:rFonts w:ascii="Arial" w:cs="Arial" w:eastAsia="Arial" w:hAnsi="Arial"/>
                <w:sz w:val="24"/>
                <w:szCs w:val="24"/>
              </w:rPr>
            </w:pPr>
            <w:r w:rsidDel="00000000" w:rsidR="00000000" w:rsidRPr="00000000">
              <w:rPr>
                <w:rFonts w:ascii="Arial" w:cs="Arial" w:eastAsia="Arial" w:hAnsi="Arial"/>
                <w:sz w:val="24"/>
                <w:szCs w:val="24"/>
                <w:rtl w:val="0"/>
              </w:rPr>
              <w:t xml:space="preserve">% de consultas de adultos con síntomas sugestivos de ansiedad donde se aplica el GAD-7 sobre el total de consultas de adultos con esos síntomas en la red</w:t>
            </w:r>
          </w:p>
        </w:tc>
        <w:tc>
          <w:tcPr/>
          <w:p w:rsidR="00000000" w:rsidDel="00000000" w:rsidP="00000000" w:rsidRDefault="00000000" w:rsidRPr="00000000" w14:paraId="00000090">
            <w:pPr>
              <w:rPr>
                <w:rFonts w:ascii="Arial" w:cs="Arial" w:eastAsia="Arial" w:hAnsi="Arial"/>
                <w:sz w:val="24"/>
                <w:szCs w:val="24"/>
              </w:rPr>
            </w:pPr>
            <w:sdt>
              <w:sdtPr>
                <w:id w:val="990130630"/>
                <w:tag w:val="goog_rdk_8"/>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91">
            <w:pPr>
              <w:rPr>
                <w:rFonts w:ascii="Arial" w:cs="Arial" w:eastAsia="Arial" w:hAnsi="Arial"/>
                <w:sz w:val="24"/>
                <w:szCs w:val="24"/>
              </w:rPr>
            </w:pPr>
            <w:r w:rsidDel="00000000" w:rsidR="00000000" w:rsidRPr="00000000">
              <w:rPr>
                <w:rFonts w:ascii="Arial" w:cs="Arial" w:eastAsia="Arial" w:hAnsi="Arial"/>
                <w:sz w:val="24"/>
                <w:szCs w:val="24"/>
                <w:rtl w:val="0"/>
              </w:rPr>
              <w:t xml:space="preserve">Cobertura del tamizaje de TEPT con PCL-5 en poblaciones vulnerables</w:t>
            </w:r>
          </w:p>
        </w:tc>
        <w:tc>
          <w:tcPr/>
          <w:p w:rsidR="00000000" w:rsidDel="00000000" w:rsidP="00000000" w:rsidRDefault="00000000" w:rsidRPr="00000000" w14:paraId="00000092">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exposición documentada al conflicto armado o violencia sexual a quienes se aplica la PCL-5 sobre el total de pacientes con esos antecedentes en la red</w:t>
            </w:r>
          </w:p>
        </w:tc>
        <w:tc>
          <w:tcPr/>
          <w:p w:rsidR="00000000" w:rsidDel="00000000" w:rsidP="00000000" w:rsidRDefault="00000000" w:rsidRPr="00000000" w14:paraId="00000093">
            <w:pPr>
              <w:rPr>
                <w:rFonts w:ascii="Arial" w:cs="Arial" w:eastAsia="Arial" w:hAnsi="Arial"/>
                <w:sz w:val="24"/>
                <w:szCs w:val="24"/>
              </w:rPr>
            </w:pPr>
            <w:sdt>
              <w:sdtPr>
                <w:id w:val="20028658"/>
                <w:tag w:val="goog_rdk_9"/>
              </w:sdtPr>
              <w:sdtContent>
                <w:r w:rsidDel="00000000" w:rsidR="00000000" w:rsidRPr="00000000">
                  <w:rPr>
                    <w:rFonts w:ascii="Arial Unicode MS" w:cs="Arial Unicode MS" w:eastAsia="Arial Unicode MS" w:hAnsi="Arial Unicode MS"/>
                    <w:sz w:val="24"/>
                    <w:szCs w:val="24"/>
                    <w:rtl w:val="0"/>
                  </w:rPr>
                  <w:t xml:space="preserve">≥ 70 %</w:t>
                </w:r>
              </w:sdtContent>
            </w:sdt>
          </w:p>
        </w:tc>
      </w:tr>
      <w:tr>
        <w:trPr>
          <w:cantSplit w:val="0"/>
          <w:tblHeader w:val="0"/>
        </w:trPr>
        <w:tc>
          <w:tcPr/>
          <w:p w:rsidR="00000000" w:rsidDel="00000000" w:rsidP="00000000" w:rsidRDefault="00000000" w:rsidRPr="00000000" w14:paraId="00000094">
            <w:pPr>
              <w:rPr>
                <w:rFonts w:ascii="Arial" w:cs="Arial" w:eastAsia="Arial" w:hAnsi="Arial"/>
                <w:sz w:val="24"/>
                <w:szCs w:val="24"/>
              </w:rPr>
            </w:pPr>
            <w:r w:rsidDel="00000000" w:rsidR="00000000" w:rsidRPr="00000000">
              <w:rPr>
                <w:rFonts w:ascii="Arial" w:cs="Arial" w:eastAsia="Arial" w:hAnsi="Arial"/>
                <w:sz w:val="24"/>
                <w:szCs w:val="24"/>
                <w:rtl w:val="0"/>
              </w:rPr>
              <w:t xml:space="preserve">Inicio de tratamiento en ansiedad moderada a severa</w:t>
            </w:r>
          </w:p>
        </w:tc>
        <w:tc>
          <w:tcPr/>
          <w:p w:rsidR="00000000" w:rsidDel="00000000" w:rsidP="00000000" w:rsidRDefault="00000000" w:rsidRPr="00000000" w14:paraId="00000095">
            <w:pPr>
              <w:rPr>
                <w:rFonts w:ascii="Arial" w:cs="Arial" w:eastAsia="Arial" w:hAnsi="Arial"/>
                <w:sz w:val="24"/>
                <w:szCs w:val="24"/>
              </w:rPr>
            </w:pPr>
            <w:sdt>
              <w:sdtPr>
                <w:id w:val="1089245378"/>
                <w:tag w:val="goog_rdk_10"/>
              </w:sdtPr>
              <w:sdtContent>
                <w:r w:rsidDel="00000000" w:rsidR="00000000" w:rsidRPr="00000000">
                  <w:rPr>
                    <w:rFonts w:ascii="Arial Unicode MS" w:cs="Arial Unicode MS" w:eastAsia="Arial Unicode MS" w:hAnsi="Arial Unicode MS"/>
                    <w:sz w:val="24"/>
                    <w:szCs w:val="24"/>
                    <w:rtl w:val="0"/>
                  </w:rPr>
                  <w:t xml:space="preserve">% de pacientes con GAD-7 ≥ 10 evaluados por </w:t>
                </w:r>
              </w:sdtContent>
            </w:sdt>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que inician tratamiento (farmacológico o psicoterapéutico) en &lt; 72 horas desde la primera teleconsulta sobre el total con ese diagnóstico</w:t>
            </w:r>
          </w:p>
        </w:tc>
        <w:tc>
          <w:tcPr/>
          <w:p w:rsidR="00000000" w:rsidDel="00000000" w:rsidP="00000000" w:rsidRDefault="00000000" w:rsidRPr="00000000" w14:paraId="00000096">
            <w:pPr>
              <w:rPr>
                <w:rFonts w:ascii="Arial" w:cs="Arial" w:eastAsia="Arial" w:hAnsi="Arial"/>
                <w:sz w:val="24"/>
                <w:szCs w:val="24"/>
              </w:rPr>
            </w:pPr>
            <w:sdt>
              <w:sdtPr>
                <w:id w:val="-542401395"/>
                <w:tag w:val="goog_rdk_11"/>
              </w:sdtPr>
              <w:sdtContent>
                <w:r w:rsidDel="00000000" w:rsidR="00000000" w:rsidRPr="00000000">
                  <w:rPr>
                    <w:rFonts w:ascii="Arial Unicode MS" w:cs="Arial Unicode MS" w:eastAsia="Arial Unicode MS" w:hAnsi="Arial Unicode MS"/>
                    <w:sz w:val="24"/>
                    <w:szCs w:val="24"/>
                    <w:rtl w:val="0"/>
                  </w:rPr>
                  <w:t xml:space="preserve">≥ 85 %</w:t>
                </w:r>
              </w:sdtContent>
            </w:sdt>
          </w:p>
        </w:tc>
      </w:tr>
      <w:tr>
        <w:trPr>
          <w:cantSplit w:val="0"/>
          <w:tblHeader w:val="0"/>
        </w:trPr>
        <w:tc>
          <w:tcPr/>
          <w:p w:rsidR="00000000" w:rsidDel="00000000" w:rsidP="00000000" w:rsidRDefault="00000000" w:rsidRPr="00000000" w14:paraId="00000097">
            <w:pPr>
              <w:rPr>
                <w:rFonts w:ascii="Arial" w:cs="Arial" w:eastAsia="Arial" w:hAnsi="Arial"/>
                <w:sz w:val="24"/>
                <w:szCs w:val="24"/>
              </w:rPr>
            </w:pPr>
            <w:r w:rsidDel="00000000" w:rsidR="00000000" w:rsidRPr="00000000">
              <w:rPr>
                <w:rFonts w:ascii="Arial" w:cs="Arial" w:eastAsia="Arial" w:hAnsi="Arial"/>
                <w:sz w:val="24"/>
                <w:szCs w:val="24"/>
                <w:rtl w:val="0"/>
              </w:rPr>
              <w:t xml:space="preserve">Seguimiento a las 2 semanas post-inicio del tratamiento</w:t>
            </w:r>
          </w:p>
        </w:tc>
        <w:tc>
          <w:tcPr/>
          <w:p w:rsidR="00000000" w:rsidDel="00000000" w:rsidP="00000000" w:rsidRDefault="00000000" w:rsidRPr="00000000" w14:paraId="00000098">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que inician tratamiento para trastorno de ansiedad por </w:t>
            </w:r>
            <w:r w:rsidDel="00000000" w:rsidR="00000000" w:rsidRPr="00000000">
              <w:rPr>
                <w:rFonts w:ascii="Arial" w:cs="Arial" w:eastAsia="Arial" w:hAnsi="Arial"/>
                <w:sz w:val="24"/>
                <w:szCs w:val="24"/>
                <w:rtl w:val="0"/>
              </w:rPr>
              <w:t xml:space="preserve">teleexperticia</w:t>
            </w:r>
            <w:r w:rsidDel="00000000" w:rsidR="00000000" w:rsidRPr="00000000">
              <w:rPr>
                <w:rFonts w:ascii="Arial" w:cs="Arial" w:eastAsia="Arial" w:hAnsi="Arial"/>
                <w:sz w:val="24"/>
                <w:szCs w:val="24"/>
                <w:rtl w:val="0"/>
              </w:rPr>
              <w:t xml:space="preserve"> con teleconsulta de seguimiento realizada entre los días 10 y 16 sobre el total de pacientes con tratamiento iniciado</w:t>
            </w:r>
          </w:p>
        </w:tc>
        <w:tc>
          <w:tcPr/>
          <w:p w:rsidR="00000000" w:rsidDel="00000000" w:rsidP="00000000" w:rsidRDefault="00000000" w:rsidRPr="00000000" w14:paraId="00000099">
            <w:pPr>
              <w:rPr>
                <w:rFonts w:ascii="Arial" w:cs="Arial" w:eastAsia="Arial" w:hAnsi="Arial"/>
                <w:sz w:val="24"/>
                <w:szCs w:val="24"/>
              </w:rPr>
            </w:pPr>
            <w:sdt>
              <w:sdtPr>
                <w:id w:val="-1654993495"/>
                <w:tag w:val="goog_rdk_12"/>
              </w:sdtPr>
              <w:sdtContent>
                <w:r w:rsidDel="00000000" w:rsidR="00000000" w:rsidRPr="00000000">
                  <w:rPr>
                    <w:rFonts w:ascii="Arial Unicode MS" w:cs="Arial Unicode MS" w:eastAsia="Arial Unicode MS" w:hAnsi="Arial Unicode MS"/>
                    <w:sz w:val="24"/>
                    <w:szCs w:val="24"/>
                    <w:rtl w:val="0"/>
                  </w:rPr>
                  <w:t xml:space="preserve">≥ 80 %</w:t>
                </w:r>
              </w:sdtContent>
            </w:sdt>
          </w:p>
        </w:tc>
      </w:tr>
      <w:tr>
        <w:trPr>
          <w:cantSplit w:val="0"/>
          <w:tblHeader w:val="0"/>
        </w:trPr>
        <w:tc>
          <w:tcPr/>
          <w:p w:rsidR="00000000" w:rsidDel="00000000" w:rsidP="00000000" w:rsidRDefault="00000000" w:rsidRPr="00000000" w14:paraId="0000009A">
            <w:pPr>
              <w:rPr>
                <w:rFonts w:ascii="Arial" w:cs="Arial" w:eastAsia="Arial" w:hAnsi="Arial"/>
                <w:sz w:val="24"/>
                <w:szCs w:val="24"/>
              </w:rPr>
            </w:pPr>
            <w:r w:rsidDel="00000000" w:rsidR="00000000" w:rsidRPr="00000000">
              <w:rPr>
                <w:rFonts w:ascii="Arial" w:cs="Arial" w:eastAsia="Arial" w:hAnsi="Arial"/>
                <w:sz w:val="24"/>
                <w:szCs w:val="24"/>
                <w:rtl w:val="0"/>
              </w:rPr>
              <w:t xml:space="preserve">Tasa de respuesta al tratamiento a las 8 semanas</w:t>
            </w:r>
          </w:p>
        </w:tc>
        <w:tc>
          <w:tcPr/>
          <w:p w:rsidR="00000000" w:rsidDel="00000000" w:rsidP="00000000" w:rsidRDefault="00000000" w:rsidRPr="00000000" w14:paraId="0000009B">
            <w:pPr>
              <w:rPr>
                <w:rFonts w:ascii="Arial" w:cs="Arial" w:eastAsia="Arial" w:hAnsi="Arial"/>
                <w:sz w:val="24"/>
                <w:szCs w:val="24"/>
              </w:rPr>
            </w:pPr>
            <w:sdt>
              <w:sdtPr>
                <w:id w:val="-188480257"/>
                <w:tag w:val="goog_rdk_13"/>
              </w:sdtPr>
              <w:sdtContent>
                <w:r w:rsidDel="00000000" w:rsidR="00000000" w:rsidRPr="00000000">
                  <w:rPr>
                    <w:rFonts w:ascii="Arial Unicode MS" w:cs="Arial Unicode MS" w:eastAsia="Arial Unicode MS" w:hAnsi="Arial Unicode MS"/>
                    <w:sz w:val="24"/>
                    <w:szCs w:val="24"/>
                    <w:rtl w:val="0"/>
                  </w:rPr>
                  <w:t xml:space="preserve">% de pacientes con GAD-7 ≥ 10 en seguimiento con reducción ≥ 50% del puntaje basal a las 8 semanas sobre el total de pacientes con seguimiento completo</w:t>
                </w:r>
              </w:sdtContent>
            </w:sdt>
          </w:p>
        </w:tc>
        <w:tc>
          <w:tcPr/>
          <w:p w:rsidR="00000000" w:rsidDel="00000000" w:rsidP="00000000" w:rsidRDefault="00000000" w:rsidRPr="00000000" w14:paraId="0000009C">
            <w:pPr>
              <w:rPr>
                <w:rFonts w:ascii="Arial" w:cs="Arial" w:eastAsia="Arial" w:hAnsi="Arial"/>
                <w:sz w:val="24"/>
                <w:szCs w:val="24"/>
              </w:rPr>
            </w:pPr>
            <w:sdt>
              <w:sdtPr>
                <w:id w:val="1113590820"/>
                <w:tag w:val="goog_rdk_14"/>
              </w:sdtPr>
              <w:sdtContent>
                <w:r w:rsidDel="00000000" w:rsidR="00000000" w:rsidRPr="00000000">
                  <w:rPr>
                    <w:rFonts w:ascii="Arial Unicode MS" w:cs="Arial Unicode MS" w:eastAsia="Arial Unicode MS" w:hAnsi="Arial Unicode MS"/>
                    <w:sz w:val="24"/>
                    <w:szCs w:val="24"/>
                    <w:rtl w:val="0"/>
                  </w:rPr>
                  <w:t xml:space="preserve">≥ 50 %</w:t>
                </w:r>
              </w:sdtContent>
            </w:sdt>
          </w:p>
        </w:tc>
      </w:tr>
      <w:tr>
        <w:trPr>
          <w:cantSplit w:val="0"/>
          <w:tblHeader w:val="0"/>
        </w:trPr>
        <w:tc>
          <w:tcPr/>
          <w:p w:rsidR="00000000" w:rsidDel="00000000" w:rsidP="00000000" w:rsidRDefault="00000000" w:rsidRPr="00000000" w14:paraId="0000009D">
            <w:pPr>
              <w:rPr>
                <w:rFonts w:ascii="Arial" w:cs="Arial" w:eastAsia="Arial" w:hAnsi="Arial"/>
                <w:sz w:val="24"/>
                <w:szCs w:val="24"/>
              </w:rPr>
            </w:pPr>
            <w:r w:rsidDel="00000000" w:rsidR="00000000" w:rsidRPr="00000000">
              <w:rPr>
                <w:rFonts w:ascii="Arial" w:cs="Arial" w:eastAsia="Arial" w:hAnsi="Arial"/>
                <w:sz w:val="24"/>
                <w:szCs w:val="24"/>
                <w:rtl w:val="0"/>
              </w:rPr>
              <w:t xml:space="preserve">Manejo racional de benzodiacepinas</w:t>
            </w:r>
          </w:p>
        </w:tc>
        <w:tc>
          <w:tcPr/>
          <w:p w:rsidR="00000000" w:rsidDel="00000000" w:rsidP="00000000" w:rsidRDefault="00000000" w:rsidRPr="00000000" w14:paraId="0000009E">
            <w:pPr>
              <w:rPr>
                <w:rFonts w:ascii="Arial" w:cs="Arial" w:eastAsia="Arial" w:hAnsi="Arial"/>
                <w:sz w:val="24"/>
                <w:szCs w:val="24"/>
              </w:rPr>
            </w:pPr>
            <w:r w:rsidDel="00000000" w:rsidR="00000000" w:rsidRPr="00000000">
              <w:rPr>
                <w:rFonts w:ascii="Arial" w:cs="Arial" w:eastAsia="Arial" w:hAnsi="Arial"/>
                <w:sz w:val="24"/>
                <w:szCs w:val="24"/>
                <w:rtl w:val="0"/>
              </w:rPr>
              <w:t xml:space="preserve">% de pacientes con trastorno de ansiedad a quienes se prescribe benzodiacepina como único tratamiento (sin ISRS o IRSN concomitante) sobre el total de prescripciones para trastornos de ansiedad</w:t>
            </w:r>
          </w:p>
        </w:tc>
        <w:tc>
          <w:tcPr/>
          <w:p w:rsidR="00000000" w:rsidDel="00000000" w:rsidP="00000000" w:rsidRDefault="00000000" w:rsidRPr="00000000" w14:paraId="0000009F">
            <w:pPr>
              <w:rPr>
                <w:rFonts w:ascii="Arial" w:cs="Arial" w:eastAsia="Arial" w:hAnsi="Arial"/>
                <w:sz w:val="24"/>
                <w:szCs w:val="24"/>
              </w:rPr>
            </w:pPr>
            <w:sdt>
              <w:sdtPr>
                <w:id w:val="-939284495"/>
                <w:tag w:val="goog_rdk_15"/>
              </w:sdtPr>
              <w:sdtContent>
                <w:r w:rsidDel="00000000" w:rsidR="00000000" w:rsidRPr="00000000">
                  <w:rPr>
                    <w:rFonts w:ascii="Arial Unicode MS" w:cs="Arial Unicode MS" w:eastAsia="Arial Unicode MS" w:hAnsi="Arial Unicode MS"/>
                    <w:sz w:val="24"/>
                    <w:szCs w:val="24"/>
                    <w:rtl w:val="0"/>
                  </w:rPr>
                  <w:t xml:space="preserve">≤ 10 %</w:t>
                </w:r>
              </w:sdtContent>
            </w:sdt>
          </w:p>
        </w:tc>
      </w:tr>
      <w:tr>
        <w:trPr>
          <w:cantSplit w:val="0"/>
          <w:tblHeader w:val="0"/>
        </w:trPr>
        <w:tc>
          <w:tcPr/>
          <w:p w:rsidR="00000000" w:rsidDel="00000000" w:rsidP="00000000" w:rsidRDefault="00000000" w:rsidRPr="00000000" w14:paraId="000000A0">
            <w:pPr>
              <w:rPr>
                <w:rFonts w:ascii="Arial" w:cs="Arial" w:eastAsia="Arial" w:hAnsi="Arial"/>
                <w:sz w:val="24"/>
                <w:szCs w:val="24"/>
              </w:rPr>
            </w:pPr>
            <w:r w:rsidDel="00000000" w:rsidR="00000000" w:rsidRPr="00000000">
              <w:rPr>
                <w:rFonts w:ascii="Arial" w:cs="Arial" w:eastAsia="Arial" w:hAnsi="Arial"/>
                <w:sz w:val="24"/>
                <w:szCs w:val="24"/>
                <w:rtl w:val="0"/>
              </w:rPr>
              <w:t xml:space="preserve">Detección de comorbilidad depresiva en trastornos de ansiedad</w:t>
            </w:r>
          </w:p>
        </w:tc>
        <w:tc>
          <w:tcPr/>
          <w:p w:rsidR="00000000" w:rsidDel="00000000" w:rsidP="00000000" w:rsidRDefault="00000000" w:rsidRPr="00000000" w14:paraId="000000A1">
            <w:pPr>
              <w:rPr>
                <w:rFonts w:ascii="Arial" w:cs="Arial" w:eastAsia="Arial" w:hAnsi="Arial"/>
                <w:sz w:val="24"/>
                <w:szCs w:val="24"/>
              </w:rPr>
            </w:pPr>
            <w:sdt>
              <w:sdtPr>
                <w:id w:val="1243436145"/>
                <w:tag w:val="goog_rdk_16"/>
              </w:sdtPr>
              <w:sdtContent>
                <w:r w:rsidDel="00000000" w:rsidR="00000000" w:rsidRPr="00000000">
                  <w:rPr>
                    <w:rFonts w:ascii="Arial Unicode MS" w:cs="Arial Unicode MS" w:eastAsia="Arial Unicode MS" w:hAnsi="Arial Unicode MS"/>
                    <w:sz w:val="24"/>
                    <w:szCs w:val="24"/>
                    <w:rtl w:val="0"/>
                  </w:rPr>
                  <w:t xml:space="preserve">% de pacientes con GAD-7 ≥ 10 a quienes se aplica el PHQ-9 durante la evaluación diagnóstica sobre el total de evaluaciones de trastornos de ansiedad</w:t>
                </w:r>
              </w:sdtContent>
            </w:sdt>
          </w:p>
        </w:tc>
        <w:tc>
          <w:tcPr/>
          <w:p w:rsidR="00000000" w:rsidDel="00000000" w:rsidP="00000000" w:rsidRDefault="00000000" w:rsidRPr="00000000" w14:paraId="000000A2">
            <w:pPr>
              <w:rPr>
                <w:rFonts w:ascii="Arial" w:cs="Arial" w:eastAsia="Arial" w:hAnsi="Arial"/>
                <w:sz w:val="24"/>
                <w:szCs w:val="24"/>
              </w:rPr>
            </w:pPr>
            <w:sdt>
              <w:sdtPr>
                <w:id w:val="439575709"/>
                <w:tag w:val="goog_rdk_17"/>
              </w:sdtPr>
              <w:sdtContent>
                <w:r w:rsidDel="00000000" w:rsidR="00000000" w:rsidRPr="00000000">
                  <w:rPr>
                    <w:rFonts w:ascii="Arial Unicode MS" w:cs="Arial Unicode MS" w:eastAsia="Arial Unicode MS" w:hAnsi="Arial Unicode MS"/>
                    <w:sz w:val="24"/>
                    <w:szCs w:val="24"/>
                    <w:rtl w:val="0"/>
                  </w:rPr>
                  <w:t xml:space="preserve">≥ 95 %</w:t>
                </w:r>
              </w:sdtContent>
            </w:sdt>
          </w:p>
        </w:tc>
      </w:tr>
      <w:tr>
        <w:trPr>
          <w:cantSplit w:val="0"/>
          <w:tblHeader w:val="0"/>
        </w:trPr>
        <w:tc>
          <w:tcPr/>
          <w:p w:rsidR="00000000" w:rsidDel="00000000" w:rsidP="00000000" w:rsidRDefault="00000000" w:rsidRPr="00000000" w14:paraId="000000A3">
            <w:pPr>
              <w:rPr>
                <w:rFonts w:ascii="Arial" w:cs="Arial" w:eastAsia="Arial" w:hAnsi="Arial"/>
                <w:sz w:val="24"/>
                <w:szCs w:val="24"/>
              </w:rPr>
            </w:pPr>
            <w:r w:rsidDel="00000000" w:rsidR="00000000" w:rsidRPr="00000000">
              <w:rPr>
                <w:rFonts w:ascii="Arial" w:cs="Arial" w:eastAsia="Arial" w:hAnsi="Arial"/>
                <w:sz w:val="24"/>
                <w:szCs w:val="24"/>
                <w:rtl w:val="0"/>
              </w:rPr>
              <w:t xml:space="preserve">Calidad del registro clínico</w:t>
            </w:r>
          </w:p>
        </w:tc>
        <w:tc>
          <w:tcPr/>
          <w:p w:rsidR="00000000" w:rsidDel="00000000" w:rsidP="00000000" w:rsidRDefault="00000000" w:rsidRPr="00000000" w14:paraId="000000A4">
            <w:pPr>
              <w:rPr>
                <w:rFonts w:ascii="Arial" w:cs="Arial" w:eastAsia="Arial" w:hAnsi="Arial"/>
                <w:sz w:val="24"/>
                <w:szCs w:val="24"/>
              </w:rPr>
            </w:pPr>
            <w:r w:rsidDel="00000000" w:rsidR="00000000" w:rsidRPr="00000000">
              <w:rPr>
                <w:rFonts w:ascii="Arial" w:cs="Arial" w:eastAsia="Arial" w:hAnsi="Arial"/>
                <w:sz w:val="24"/>
                <w:szCs w:val="24"/>
                <w:rtl w:val="0"/>
              </w:rPr>
              <w:t xml:space="preserve">% de teleconsultas de trastornos de ansiedad con registro completo (GAD-7 basal, diagnóstico específico, tratamiento prescrito, evaluación de comorbilidad depresiva, plan de seguimiento) sobre el total de teleconsultas</w:t>
            </w:r>
          </w:p>
        </w:tc>
        <w:tc>
          <w:tcPr/>
          <w:p w:rsidR="00000000" w:rsidDel="00000000" w:rsidP="00000000" w:rsidRDefault="00000000" w:rsidRPr="00000000" w14:paraId="000000A5">
            <w:pPr>
              <w:rPr>
                <w:rFonts w:ascii="Arial" w:cs="Arial" w:eastAsia="Arial" w:hAnsi="Arial"/>
                <w:sz w:val="24"/>
                <w:szCs w:val="24"/>
              </w:rPr>
            </w:pPr>
            <w:sdt>
              <w:sdtPr>
                <w:id w:val="907546938"/>
                <w:tag w:val="goog_rdk_18"/>
              </w:sdtPr>
              <w:sdtContent>
                <w:r w:rsidDel="00000000" w:rsidR="00000000" w:rsidRPr="00000000">
                  <w:rPr>
                    <w:rFonts w:ascii="Arial Unicode MS" w:cs="Arial Unicode MS" w:eastAsia="Arial Unicode MS" w:hAnsi="Arial Unicode MS"/>
                    <w:sz w:val="24"/>
                    <w:szCs w:val="24"/>
                    <w:rtl w:val="0"/>
                  </w:rPr>
                  <w:t xml:space="preserve">≥ 95 %</w:t>
                </w:r>
              </w:sdtContent>
            </w:sdt>
          </w:p>
        </w:tc>
      </w:tr>
    </w:tbl>
    <w:p w:rsidR="00000000" w:rsidDel="00000000" w:rsidP="00000000" w:rsidRDefault="00000000" w:rsidRPr="00000000" w14:paraId="000000A6">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13. Bibliografía</w:t>
      </w:r>
    </w:p>
    <w:p w:rsidR="00000000" w:rsidDel="00000000" w:rsidP="00000000" w:rsidRDefault="00000000" w:rsidRPr="00000000" w14:paraId="000000A7">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 Ministerio de Salud y Protección Social de Colombia. Encuesta Nacional de Salud Mental 2015. Bogotá: MinSalud; 2015.</w:t>
      </w:r>
    </w:p>
    <w:p w:rsidR="00000000" w:rsidDel="00000000" w:rsidP="00000000" w:rsidRDefault="00000000" w:rsidRPr="00000000" w14:paraId="000000A8">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2. Ministerio de Salud y Protección Social de Colombia. Ley 1616 de 2013: Ley de Salud Mental. Bogotá: MinSalud; 2013.</w:t>
      </w:r>
    </w:p>
    <w:p w:rsidR="00000000" w:rsidDel="00000000" w:rsidP="00000000" w:rsidRDefault="00000000" w:rsidRPr="00000000" w14:paraId="000000A9">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3. Ministerio de Salud y Protección Social de Colombia. Resolución 4886 de 2018: Política Nacional de Salud Mental. Bogotá: MinSalud; 2018.</w:t>
      </w:r>
    </w:p>
    <w:p w:rsidR="00000000" w:rsidDel="00000000" w:rsidP="00000000" w:rsidRDefault="00000000" w:rsidRPr="00000000" w14:paraId="000000AA">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4. Ministerio de Salud y Protección Social de Colombia. Resolución 2654 de 2019: disposiciones para la telesalud y parámetros para la práctica de la telemedicina en Colombia. Bogotá: MinSalud; 2019.</w:t>
      </w:r>
    </w:p>
    <w:p w:rsidR="00000000" w:rsidDel="00000000" w:rsidP="00000000" w:rsidRDefault="00000000" w:rsidRPr="00000000" w14:paraId="000000AB">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5. Organización Mundial de la Salud. mhGAP Intervention Guide for mental, neurological and substance use disorders in non-specialized health settings. Versión 2.0. Ginebra: OMS; 2016.</w:t>
      </w:r>
    </w:p>
    <w:p w:rsidR="00000000" w:rsidDel="00000000" w:rsidP="00000000" w:rsidRDefault="00000000" w:rsidRPr="00000000" w14:paraId="000000AC">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6. American Psychiatric Association. Diagnostic and Statistical Manual of Mental Disorders, Fifth Edition (DSM-5). Washington: APA; 2013.</w:t>
      </w:r>
    </w:p>
    <w:p w:rsidR="00000000" w:rsidDel="00000000" w:rsidP="00000000" w:rsidRDefault="00000000" w:rsidRPr="00000000" w14:paraId="000000AD">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7. National Institute for Health and Care Excellence (NICE). Generalised anxiety disorder and panic disorder in adults: management. Clinical guideline CG113. Londres: NICE; 2011 (updated 2019).</w:t>
      </w:r>
    </w:p>
    <w:p w:rsidR="00000000" w:rsidDel="00000000" w:rsidP="00000000" w:rsidRDefault="00000000" w:rsidRPr="00000000" w14:paraId="000000AE">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8. National Institute for Health and Care Excellence (NICE). Post-traumatic stress disorder. NICE guideline NG116. Londres: NICE; 2018.</w:t>
      </w:r>
    </w:p>
    <w:p w:rsidR="00000000" w:rsidDel="00000000" w:rsidP="00000000" w:rsidRDefault="00000000" w:rsidRPr="00000000" w14:paraId="000000AF">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9. Spitzer RL, Kroenke K, Williams JB, Löwe B. A brief measure for assessing generalized anxiety disorder: the GAD-7. Arch Intern Med. 2006;166(10):1092-1097.</w:t>
      </w:r>
    </w:p>
    <w:p w:rsidR="00000000" w:rsidDel="00000000" w:rsidP="00000000" w:rsidRDefault="00000000" w:rsidRPr="00000000" w14:paraId="000000B0">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10. Weathers FW, Litz BT, Keane TM, et al. The PTSD Checklist for DSM-5 (PCL-5). National Center for PTSD; 2013.</w:t>
      </w:r>
    </w:p>
    <w:p w:rsidR="00000000" w:rsidDel="00000000" w:rsidP="00000000" w:rsidRDefault="00000000" w:rsidRPr="00000000" w14:paraId="000000B1">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11. Cuijpers P, Marks IM, van Straten A, Cavanagh K, Gega L, Andersson G. Computer-aided psychotherapy for anxiety disorders: a meta-analytic review. Cogn Behav Ther. 2009;38(2):66-82.</w:t>
      </w:r>
    </w:p>
    <w:p w:rsidR="00000000" w:rsidDel="00000000" w:rsidP="00000000" w:rsidRDefault="00000000" w:rsidRPr="00000000" w14:paraId="000000B2">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12. Ministerio de Salud y Protección Social de Colombia. Plan Decenal de Salud Pública 2022-2031. Bogotá: MinSalud; 2022.</w:t>
      </w:r>
    </w:p>
    <w:p w:rsidR="00000000" w:rsidDel="00000000" w:rsidP="00000000" w:rsidRDefault="00000000" w:rsidRPr="00000000" w14:paraId="000000B3">
      <w:pPr>
        <w:pStyle w:val="Heading1"/>
        <w:rPr>
          <w:rFonts w:ascii="Arial" w:cs="Arial" w:eastAsia="Arial" w:hAnsi="Arial"/>
          <w:sz w:val="24"/>
          <w:szCs w:val="24"/>
        </w:rPr>
      </w:pPr>
      <w:r w:rsidDel="00000000" w:rsidR="00000000" w:rsidRPr="00000000">
        <w:rPr>
          <w:rFonts w:ascii="Arial" w:cs="Arial" w:eastAsia="Arial" w:hAnsi="Arial"/>
          <w:sz w:val="24"/>
          <w:szCs w:val="24"/>
          <w:rtl w:val="0"/>
        </w:rPr>
        <w:t xml:space="preserve">14. Responsables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rFonts w:ascii="Arial" w:cs="Arial" w:eastAsia="Arial" w:hAnsi="Arial"/>
          <w:sz w:val="24"/>
          <w:szCs w:val="24"/>
        </w:rPr>
      </w:pPr>
      <w:bookmarkStart w:colFirst="0" w:colLast="0" w:name="_heading=h.j810urv298ip" w:id="0"/>
      <w:bookmarkEnd w:id="0"/>
      <w:r w:rsidDel="00000000" w:rsidR="00000000" w:rsidRPr="00000000">
        <w:rPr>
          <w:rFonts w:ascii="Arial" w:cs="Arial" w:eastAsia="Arial" w:hAnsi="Arial"/>
          <w:sz w:val="24"/>
          <w:szCs w:val="24"/>
          <w:rtl w:val="0"/>
        </w:rPr>
        <w:t xml:space="preserve">REALIZA: Iván Fernando Díaz Molina - Especialista en Psiquiatría</w:t>
      </w:r>
    </w:p>
    <w:p w:rsidR="00000000" w:rsidDel="00000000" w:rsidP="00000000" w:rsidRDefault="00000000" w:rsidRPr="00000000" w14:paraId="000000B6">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B7">
      <w:pPr>
        <w:rPr>
          <w:rFonts w:ascii="Arial" w:cs="Arial" w:eastAsia="Arial" w:hAnsi="Arial"/>
          <w:sz w:val="24"/>
          <w:szCs w:val="24"/>
        </w:rPr>
      </w:pPr>
      <w:bookmarkStart w:colFirst="0" w:colLast="0" w:name="_heading=h.s6ve743v90f2" w:id="1"/>
      <w:bookmarkEnd w:id="1"/>
      <w:r w:rsidDel="00000000" w:rsidR="00000000" w:rsidRPr="00000000">
        <w:rPr>
          <w:rtl w:val="0"/>
        </w:rPr>
      </w:r>
    </w:p>
    <w:sectPr>
      <w:headerReference r:id="rId7" w:type="default"/>
      <w:footerReference r:id="rId8"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4"/>
        <w:szCs w:val="24"/>
      </w:rPr>
    </w:pPr>
    <w:r w:rsidDel="00000000" w:rsidR="00000000" w:rsidRPr="00000000">
      <w:rPr>
        <w:rtl w:val="0"/>
      </w:rPr>
    </w:r>
  </w:p>
  <w:tbl>
    <w:tblPr>
      <w:tblStyle w:val="Table3"/>
      <w:tblW w:w="10309.0" w:type="dxa"/>
      <w:jc w:val="left"/>
      <w:tblInd w:w="-7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7"/>
      <w:gridCol w:w="2349"/>
      <w:gridCol w:w="3376"/>
      <w:gridCol w:w="2057"/>
      <w:tblGridChange w:id="0">
        <w:tblGrid>
          <w:gridCol w:w="2527"/>
          <w:gridCol w:w="2349"/>
          <w:gridCol w:w="3376"/>
          <w:gridCol w:w="2057"/>
        </w:tblGrid>
      </w:tblGridChange>
    </w:tblGrid>
    <w:tr>
      <w:trPr>
        <w:cantSplit w:val="0"/>
        <w:trHeight w:val="200" w:hRule="atLeast"/>
        <w:tblHeader w:val="0"/>
      </w:trPr>
      <w:tc>
        <w:tcPr>
          <w:vMerge w:val="restart"/>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-12699</wp:posOffset>
                </wp:positionV>
                <wp:extent cx="1368425" cy="666750"/>
                <wp:effectExtent b="0" l="0" r="0" t="0"/>
                <wp:wrapNone/>
                <wp:docPr id="1" name="image1.png"/>
                <a:graphic>
                  <a:graphicData uri="http://schemas.openxmlformats.org/drawingml/2006/picture">
                    <pic:pic>
                      <pic:nvPicPr>
                        <pic:cNvPr id="0" name="image1.png"/>
                        <pic:cNvPicPr preferRelativeResize="0"/>
                      </pic:nvPicPr>
                      <pic:blipFill>
                        <a:blip r:embed="rId1"/>
                        <a:srcRect b="0" l="2579" r="4123" t="0"/>
                        <a:stretch>
                          <a:fillRect/>
                        </a:stretch>
                      </pic:blipFill>
                      <pic:spPr>
                        <a:xfrm>
                          <a:off x="0" y="0"/>
                          <a:ext cx="1368425" cy="666750"/>
                        </a:xfrm>
                        <a:prstGeom prst="rect"/>
                        <a:ln/>
                      </pic:spPr>
                    </pic:pic>
                  </a:graphicData>
                </a:graphic>
              </wp:anchor>
            </w:drawing>
          </w:r>
        </w:p>
      </w:tc>
      <w:tc>
        <w:tcPr>
          <w:gridSpan w:val="3"/>
          <w:vAlign w:val="center"/>
        </w:tcPr>
        <w:p w:rsidR="00000000" w:rsidDel="00000000" w:rsidP="00000000" w:rsidRDefault="00000000" w:rsidRPr="00000000" w14:paraId="000000BA">
          <w:pPr>
            <w:jc w:val="center"/>
            <w:rPr>
              <w:sz w:val="28"/>
              <w:szCs w:val="28"/>
            </w:rPr>
          </w:pPr>
          <w:r w:rsidDel="00000000" w:rsidR="00000000" w:rsidRPr="00000000">
            <w:rPr>
              <w:rFonts w:ascii="Arial" w:cs="Arial" w:eastAsia="Arial" w:hAnsi="Arial"/>
              <w:b w:val="1"/>
              <w:bCs w:val="1"/>
              <w:sz w:val="28"/>
              <w:szCs w:val="28"/>
              <w:rtl w:val="0"/>
            </w:rPr>
            <w:t xml:space="preserve">PROTOCOLO DE TELEMEDICINA PARA EL MANEJO DE TRASTORNOS DE ANSIEDAD EN ADULTOS</w:t>
          </w:r>
          <w:r w:rsidDel="00000000" w:rsidR="00000000" w:rsidRPr="00000000">
            <w:rPr>
              <w:rtl w:val="0"/>
            </w:rPr>
          </w:r>
        </w:p>
      </w:tc>
    </w:tr>
    <w:tr>
      <w:trPr>
        <w:cantSplit w:val="0"/>
        <w:trHeight w:val="278" w:hRule="atLeast"/>
        <w:tblHeader w:val="0"/>
      </w:trPr>
      <w:tc>
        <w:tcPr>
          <w:vMerge w:val="continue"/>
          <w:vAlign w:val="cente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tl w:val="0"/>
            </w:rPr>
          </w:r>
        </w:p>
      </w:tc>
      <w:tc>
        <w:tcPr>
          <w:gridSpan w:val="3"/>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Protocolo </w:t>
          </w:r>
        </w:p>
      </w:tc>
    </w:tr>
    <w:tr>
      <w:trPr>
        <w:cantSplit w:val="0"/>
        <w:trHeight w:val="304" w:hRule="atLeast"/>
        <w:tblHeader w:val="0"/>
      </w:trPr>
      <w:tc>
        <w:tcPr>
          <w:vMerge w:val="continue"/>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Código: IN-FR-87</w:t>
          </w:r>
        </w:p>
      </w:tc>
      <w:tc>
        <w:tcPr>
          <w:vAlign w:val="center"/>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Vigente desde: 2025-06-25</w:t>
          </w:r>
        </w:p>
      </w:tc>
      <w:tc>
        <w:tcPr>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Versión: 001</w:t>
          </w:r>
        </w:p>
      </w:tc>
    </w:tr>
  </w:tbl>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6262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62626"/>
      <w:sz w:val="28"/>
      <w:szCs w:val="28"/>
    </w:rPr>
  </w:style>
  <w:style w:type="paragraph" w:styleId="Heading3">
    <w:name w:val="heading 3"/>
    <w:basedOn w:val="Normal"/>
    <w:next w:val="Normal"/>
    <w:pPr>
      <w:keepNext w:val="1"/>
      <w:keepLines w:val="1"/>
      <w:spacing w:after="0" w:before="40" w:lineRule="auto"/>
    </w:pPr>
    <w:rPr>
      <w:rFonts w:ascii="Calibri" w:cs="Calibri" w:eastAsia="Calibri" w:hAnsi="Calibri"/>
      <w:color w:val="0d0d0d"/>
      <w:sz w:val="24"/>
      <w:szCs w:val="24"/>
    </w:rPr>
  </w:style>
  <w:style w:type="paragraph" w:styleId="Heading4">
    <w:name w:val="heading 4"/>
    <w:basedOn w:val="Normal"/>
    <w:next w:val="Normal"/>
    <w:pPr>
      <w:keepNext w:val="1"/>
      <w:keepLines w:val="1"/>
      <w:spacing w:after="0" w:before="40" w:lineRule="auto"/>
    </w:pPr>
    <w:rPr>
      <w:i w:val="1"/>
      <w:iCs w:val="1"/>
    </w:rPr>
  </w:style>
  <w:style w:type="paragraph" w:styleId="Heading5">
    <w:name w:val="heading 5"/>
    <w:basedOn w:val="Normal"/>
    <w:next w:val="Normal"/>
    <w:pPr>
      <w:keepNext w:val="1"/>
      <w:keepLines w:val="1"/>
      <w:spacing w:after="0" w:before="40" w:lineRule="auto"/>
    </w:pPr>
    <w:rPr>
      <w:color w:val="404040"/>
    </w:rPr>
  </w:style>
  <w:style w:type="paragraph" w:styleId="Heading6">
    <w:name w:val="heading 6"/>
    <w:basedOn w:val="Normal"/>
    <w:next w:val="Normal"/>
    <w:pPr>
      <w:keepNext w:val="1"/>
      <w:keepLines w:val="1"/>
      <w:spacing w:after="0" w:before="40" w:lineRule="auto"/>
    </w:pPr>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kUK2LM/qeuqS7nGDJ5mMx7XZR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IOaC5qODEwdXJ2Mjk4aXAyDmguczZ2ZTc0M3Y5MGYyOAByITFKbmNUTGl5b240LURFcFNjcmEzOUtqUVZfc2V1dHJR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