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1. Introducción</w:t>
      </w:r>
    </w:p>
    <w:p w:rsidR="00000000" w:rsidDel="00000000" w:rsidP="00000000" w:rsidRDefault="00000000" w:rsidRPr="00000000" w14:paraId="00000002">
      <w:pPr>
        <w:jc w:val="both"/>
        <w:rPr/>
      </w:pPr>
      <w:r w:rsidDel="00000000" w:rsidR="00000000" w:rsidRPr="00000000">
        <w:rPr>
          <w:rtl w:val="0"/>
        </w:rPr>
        <w:t xml:space="preserve">La cefalea es uno de los motivos de consulta más frecuentes en la atención en salud y una causa importante de discapacidad a nivel mundial. La gran mayoría de las cefaleas son primarias —principalmente migraña y cefalea de tipo tensional—, en las cuales el dolor constituye la enfermedad en sí misma y no la manifestación de una causa estructural subyacente. En estos casos, la historia clínica y el examen neurológico suelen ser normales y la neuroimagen no aporta información que modifique la conducta.</w:t>
      </w:r>
    </w:p>
    <w:p w:rsidR="00000000" w:rsidDel="00000000" w:rsidP="00000000" w:rsidRDefault="00000000" w:rsidRPr="00000000" w14:paraId="00000003">
      <w:pPr>
        <w:jc w:val="both"/>
        <w:rPr/>
      </w:pPr>
      <w:r w:rsidDel="00000000" w:rsidR="00000000" w:rsidRPr="00000000">
        <w:rPr>
          <w:rtl w:val="0"/>
        </w:rPr>
        <w:t xml:space="preserve">Una proporción menor de las cefaleas son secundarias a una causa subyacente potencialmente grave (vascular, infecciosa, neoplásica o por hipertensión intracraneal, entre otras). El reto clínico central consiste en identificar, entre la mayoría de cefaleas primarias benignas, aquellos casos que requieren estudio adicional. Para ello, la valoración sistemática de las banderas rojas mediante el acrónimo </w:t>
      </w:r>
      <w:r w:rsidDel="00000000" w:rsidR="00000000" w:rsidRPr="00000000">
        <w:rPr>
          <w:rtl w:val="0"/>
        </w:rPr>
        <w:t xml:space="preserve">SNNOOP10</w:t>
      </w:r>
      <w:r w:rsidDel="00000000" w:rsidR="00000000" w:rsidRPr="00000000">
        <w:rPr>
          <w:rtl w:val="0"/>
        </w:rPr>
        <w:t xml:space="preserve"> permite orientar la sospecha de cefalea secundaria y la necesidad de neuroimagen u otros estudios.</w:t>
      </w:r>
    </w:p>
    <w:p w:rsidR="00000000" w:rsidDel="00000000" w:rsidP="00000000" w:rsidRDefault="00000000" w:rsidRPr="00000000" w14:paraId="00000004">
      <w:pPr>
        <w:jc w:val="both"/>
        <w:rPr/>
      </w:pPr>
      <w:r w:rsidDel="00000000" w:rsidR="00000000" w:rsidRPr="00000000">
        <w:rPr>
          <w:rtl w:val="0"/>
        </w:rPr>
        <w:t xml:space="preserve">El tratamiento y la clasificación oportunos son clínicamente relevantes, ya que reconocer tempranamente una cefalea secundaria puede ser determinante para el pronóstico, mientras que evitar estudios innecesarios en las cefaleas primarias reduce costos, exposición y ansiedad del paciente. En este contexto, el médico internista cumple un papel guía: integra la información clínica y los signos de alarma para definir la necesidad de remisión a neuroimagen y, cuando corresponda, la interconsulta a neurología.</w:t>
      </w:r>
    </w:p>
    <w:p w:rsidR="00000000" w:rsidDel="00000000" w:rsidP="00000000" w:rsidRDefault="00000000" w:rsidRPr="00000000" w14:paraId="00000005">
      <w:pPr>
        <w:jc w:val="both"/>
        <w:rPr/>
      </w:pPr>
      <w:r w:rsidDel="00000000" w:rsidR="00000000" w:rsidRPr="00000000">
        <w:rPr>
          <w:rtl w:val="0"/>
        </w:rPr>
        <w:t xml:space="preserve">En un país con marcadas brechas geográficas en el acceso a especialistas en neurología y medicina interna, la </w:t>
      </w:r>
      <w:r w:rsidDel="00000000" w:rsidR="00000000" w:rsidRPr="00000000">
        <w:rPr>
          <w:rtl w:val="0"/>
        </w:rPr>
        <w:t xml:space="preserve">teleexperticia</w:t>
      </w:r>
      <w:r w:rsidDel="00000000" w:rsidR="00000000" w:rsidRPr="00000000">
        <w:rPr>
          <w:rtl w:val="0"/>
        </w:rPr>
        <w:t xml:space="preserve"> constituye una estrategia que permite acercar el criterio del experto al sitio donde se encuentra el paciente, apoyar las decisiones del profesional remisor y reducir traslados y estudios innecesarios, sin diferir la atención de los casos que requieren manejo urgente.</w:t>
      </w:r>
    </w:p>
    <w:p w:rsidR="00000000" w:rsidDel="00000000" w:rsidP="00000000" w:rsidRDefault="00000000" w:rsidRPr="00000000" w14:paraId="00000006">
      <w:pPr>
        <w:jc w:val="both"/>
        <w:rPr/>
      </w:pPr>
      <w:r w:rsidDel="00000000" w:rsidR="00000000" w:rsidRPr="00000000">
        <w:rPr>
          <w:rtl w:val="0"/>
        </w:rPr>
        <w:t xml:space="preserve">Este protocolo orienta la atención por telesalud de los pacientes con cefalea y no sustituye el juicio clínico individual ni las clasificaciones y guías vigentes (ICHD-3 y guías de práctica clínica aplicables), que prevalecen en caso de discrepancia.</w:t>
      </w:r>
    </w:p>
    <w:p w:rsidR="00000000" w:rsidDel="00000000" w:rsidP="00000000" w:rsidRDefault="00000000" w:rsidRPr="00000000" w14:paraId="00000007">
      <w:pPr>
        <w:pStyle w:val="Heading1"/>
        <w:rPr/>
      </w:pPr>
      <w:r w:rsidDel="00000000" w:rsidR="00000000" w:rsidRPr="00000000">
        <w:rPr>
          <w:rtl w:val="0"/>
        </w:rPr>
        <w:t xml:space="preserve">2. Objetivo General</w:t>
      </w:r>
    </w:p>
    <w:p w:rsidR="00000000" w:rsidDel="00000000" w:rsidP="00000000" w:rsidRDefault="00000000" w:rsidRPr="00000000" w14:paraId="00000008">
      <w:pPr>
        <w:jc w:val="both"/>
        <w:rPr/>
      </w:pPr>
      <w:r w:rsidDel="00000000" w:rsidR="00000000" w:rsidRPr="00000000">
        <w:rPr>
          <w:rtl w:val="0"/>
        </w:rPr>
        <w:t xml:space="preserve">Estandarizar la atención por </w:t>
      </w:r>
      <w:r w:rsidDel="00000000" w:rsidR="00000000" w:rsidRPr="00000000">
        <w:rPr>
          <w:rtl w:val="0"/>
        </w:rPr>
        <w:t xml:space="preserve">teleexperticia</w:t>
      </w:r>
      <w:r w:rsidDel="00000000" w:rsidR="00000000" w:rsidRPr="00000000">
        <w:rPr>
          <w:rtl w:val="0"/>
        </w:rPr>
        <w:t xml:space="preserve"> de los pacientes con cefalea, articulando al centro remisor con el profesional experto para favorecer la identificación temprana de banderas rojas, la diferenciación entre cefalea primaria y secundaria, y la decisión oportuna y racional sobre neuroimagen y remisión, con el fin de reducir la morbimortalidad prevenible y el uso innecesario de recursos.</w:t>
      </w:r>
    </w:p>
    <w:p w:rsidR="00000000" w:rsidDel="00000000" w:rsidP="00000000" w:rsidRDefault="00000000" w:rsidRPr="00000000" w14:paraId="00000009">
      <w:pPr>
        <w:pStyle w:val="Heading1"/>
        <w:rPr/>
      </w:pPr>
      <w:r w:rsidDel="00000000" w:rsidR="00000000" w:rsidRPr="00000000">
        <w:rPr>
          <w:rtl w:val="0"/>
        </w:rPr>
        <w:t xml:space="preserve">3. Objetivos Específicos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Garantizar que el centro remisor documente la caracterización cronológica del dolor, los síntomas asociados, los factores de riesgo y el examen físico básico antes de solicitar el concepto experto.</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Apoyar la valoración sistemática de las banderas rojas mediante el acrónimo </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SNNOOP10</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Orientar la decisión sobre la necesidad y la modalidad de neuroimagen (tomografía computarizada emergente frente a resonancia magnética programada) según la sospecha clínica.</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Definir la conducta de manejo en el sitio, remisión o interconsulta a neurología según las características de cada caso.</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Apoyar el papel guía del médico internista en la integración de la información clínica para definir la remisión.</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Disponer de indicadores que permitan monitorizar la oportunidad, la adecuación clínica y la seguridad de la atención.</w:t>
      </w:r>
    </w:p>
    <w:p w:rsidR="00000000" w:rsidDel="00000000" w:rsidP="00000000" w:rsidRDefault="00000000" w:rsidRPr="00000000" w14:paraId="00000010">
      <w:pPr>
        <w:pStyle w:val="Heading1"/>
        <w:rPr/>
      </w:pPr>
      <w:r w:rsidDel="00000000" w:rsidR="00000000" w:rsidRPr="00000000">
        <w:rPr>
          <w:rtl w:val="0"/>
        </w:rPr>
        <w:t xml:space="preserve">4. Alcance</w:t>
      </w:r>
    </w:p>
    <w:p w:rsidR="00000000" w:rsidDel="00000000" w:rsidP="00000000" w:rsidRDefault="00000000" w:rsidRPr="00000000" w14:paraId="00000011">
      <w:pPr>
        <w:jc w:val="both"/>
        <w:rPr/>
      </w:pPr>
      <w:r w:rsidDel="00000000" w:rsidR="00000000" w:rsidRPr="00000000">
        <w:rPr>
          <w:rtl w:val="0"/>
        </w:rPr>
        <w:t xml:space="preserve">Este protocolo aplica a la atención por </w:t>
      </w:r>
      <w:r w:rsidDel="00000000" w:rsidR="00000000" w:rsidRPr="00000000">
        <w:rPr>
          <w:rtl w:val="0"/>
        </w:rPr>
        <w:t xml:space="preserve">teleexperticia</w:t>
      </w:r>
      <w:r w:rsidDel="00000000" w:rsidR="00000000" w:rsidRPr="00000000">
        <w:rPr>
          <w:rtl w:val="0"/>
        </w:rPr>
        <w:t xml:space="preserve"> de pacientes adultos con cefalea atendidos inicialmente en los centros reemisores de la red institucional. Cubre la interacción entre el profesional solicitante del centro remisor y el profesional experto del centro referente, en modalidad sincrónica o asincrónica, desde la identificación del caso hasta la emisión del plan de manejo y la programación del seguimiento. No reemplaza la atención presencial cuando esta sea necesaria ni la activación de las rutas de urgencia ante cefaleas con criterios de emergencia.</w:t>
      </w:r>
    </w:p>
    <w:p w:rsidR="00000000" w:rsidDel="00000000" w:rsidP="00000000" w:rsidRDefault="00000000" w:rsidRPr="00000000" w14:paraId="00000012">
      <w:pPr>
        <w:pStyle w:val="Heading1"/>
        <w:rPr/>
      </w:pPr>
      <w:r w:rsidDel="00000000" w:rsidR="00000000" w:rsidRPr="00000000">
        <w:rPr>
          <w:rtl w:val="0"/>
        </w:rPr>
        <w:t xml:space="preserve">5. Marco Normativo</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Resolución 2654 de 2019 (Ministerio de Salud y Protección Social): regula la telesalud y la telemedicina en Colombia.</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Resolución 3100 de 2019 (Ministerio de Salud y Protección Social): define los estándares y procedimientos de habilitación de servicios de salud.</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Ley 1419 de 2010: establece los lineamientos de la Política Nacional de Telesalud.</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Ley 1581 de 2012: régimen de protección de datos personales (Habeas Data).</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Decreto 538 de 2020: medidas sobre telemedicina en el marco de emergencias sanitarias.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Guías y lineamientos del Ministerio de Salud y Protección Social en materia de Telesalud.</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Clasificación Internacional de las Cefaleas, 3.ª edición (ICHD-3)</w:t>
      </w:r>
    </w:p>
    <w:p w:rsidR="00000000" w:rsidDel="00000000" w:rsidP="00000000" w:rsidRDefault="00000000" w:rsidRPr="00000000" w14:paraId="0000001A">
      <w:pPr>
        <w:pStyle w:val="Heading1"/>
        <w:rPr/>
      </w:pPr>
      <w:r w:rsidDel="00000000" w:rsidR="00000000" w:rsidRPr="00000000">
        <w:rPr>
          <w:rtl w:val="0"/>
        </w:rPr>
        <w:t xml:space="preserve">6. Definiciones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Telesalud: conjunto de actividades relacionadas con la salud prestadas a distancia con el apoyo de las tecnologías de la información y las comunicaciones (TIC); comprende la telemedicina y la teleeducación en salud.</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Teleapoyo: soporte brindado por un profesional de la salud a otro profesional mediante TIC en el marco institucional.</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color w:val="333333"/>
          <w:rtl w:val="0"/>
        </w:rPr>
        <w:t xml:space="preserve">Tel Experticia</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 relación a distancia, sincrónica o asincrónica, entre dos profesionales de la salud —uno presencial responsable del paciente y otro a distancia que asesora—, desarrollada en junta médica o con personal que solicita apoyo experto.</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Cefalea primaria: cefalea en la que el dolor constituye la enfermedad en sí misma, sin causa estructural subyacente; las más frecuentes son la migraña y la cefalea de tipo tensional.</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Cefalea secundaria: cefalea atribuible a una causa subyacente (vascular, infecciosa, neoplásica, por hipertensión intracraneal u otras).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Banderas rojas (</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SNNOOP10</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 conjunto de signos y síntomas de alarma que orientan la sospecha de cefalea secundaria y la necesidad de estudios adicionales.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Cefalea en trueno: cefalea de inicio súbito que alcanza su máxima intensidad en menos de 60 segundos; constituye una emergencia neurológica.</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right="0"/>
        <w:jc w:val="left"/>
        <w:rPr>
          <w:color w:val="333333"/>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right="0"/>
        <w:jc w:val="left"/>
        <w:rPr>
          <w:color w:val="333333"/>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right="0"/>
        <w:jc w:val="left"/>
        <w:rPr>
          <w:color w:val="333333"/>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right="0"/>
        <w:jc w:val="left"/>
        <w:rPr>
          <w:color w:val="333333"/>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right="0"/>
        <w:jc w:val="left"/>
        <w:rPr>
          <w:color w:val="333333"/>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right="0"/>
        <w:jc w:val="left"/>
        <w:rPr>
          <w:color w:val="333333"/>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right="0"/>
        <w:jc w:val="left"/>
        <w:rPr>
          <w:color w:val="333333"/>
        </w:rPr>
      </w:pPr>
      <w:r w:rsidDel="00000000" w:rsidR="00000000" w:rsidRPr="00000000">
        <w:rPr>
          <w:rtl w:val="0"/>
        </w:rPr>
      </w:r>
    </w:p>
    <w:p w:rsidR="00000000" w:rsidDel="00000000" w:rsidP="00000000" w:rsidRDefault="00000000" w:rsidRPr="00000000" w14:paraId="00000029">
      <w:pPr>
        <w:pStyle w:val="Heading1"/>
        <w:rPr/>
      </w:pPr>
      <w:r w:rsidDel="00000000" w:rsidR="00000000" w:rsidRPr="00000000">
        <w:rPr>
          <w:rtl w:val="0"/>
        </w:rPr>
        <w:t xml:space="preserve">7. Flujo Operativo y Clínico en Telesalud</w:t>
      </w:r>
    </w:p>
    <w:p w:rsidR="00000000" w:rsidDel="00000000" w:rsidP="00000000" w:rsidRDefault="00000000" w:rsidRPr="00000000" w14:paraId="0000002A">
      <w:pPr>
        <w:rPr/>
      </w:pPr>
      <w:r w:rsidDel="00000000" w:rsidR="00000000" w:rsidRPr="00000000">
        <w:rPr>
          <w:rtl w:val="0"/>
        </w:rPr>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8"/>
        <w:gridCol w:w="2208"/>
        <w:gridCol w:w="2206"/>
        <w:gridCol w:w="2206"/>
        <w:tblGridChange w:id="0">
          <w:tblGrid>
            <w:gridCol w:w="2208"/>
            <w:gridCol w:w="2208"/>
            <w:gridCol w:w="2206"/>
            <w:gridCol w:w="2206"/>
          </w:tblGrid>
        </w:tblGridChange>
      </w:tblGrid>
      <w:tr>
        <w:trPr>
          <w:cantSplit w:val="0"/>
          <w:tblHeader w:val="0"/>
        </w:trPr>
        <w:tc>
          <w:tcPr/>
          <w:p w:rsidR="00000000" w:rsidDel="00000000" w:rsidP="00000000" w:rsidRDefault="00000000" w:rsidRPr="00000000" w14:paraId="0000002B">
            <w:pPr>
              <w:rPr/>
            </w:pPr>
            <w:r w:rsidDel="00000000" w:rsidR="00000000" w:rsidRPr="00000000">
              <w:rPr>
                <w:b w:val="1"/>
                <w:bCs w:val="1"/>
                <w:rtl w:val="0"/>
              </w:rPr>
              <w:t xml:space="preserve">Etapa</w:t>
            </w:r>
            <w:r w:rsidDel="00000000" w:rsidR="00000000" w:rsidRPr="00000000">
              <w:rPr>
                <w:rtl w:val="0"/>
              </w:rPr>
            </w:r>
          </w:p>
        </w:tc>
        <w:tc>
          <w:tcPr/>
          <w:p w:rsidR="00000000" w:rsidDel="00000000" w:rsidP="00000000" w:rsidRDefault="00000000" w:rsidRPr="00000000" w14:paraId="0000002C">
            <w:pPr>
              <w:rPr/>
            </w:pPr>
            <w:r w:rsidDel="00000000" w:rsidR="00000000" w:rsidRPr="00000000">
              <w:rPr>
                <w:b w:val="1"/>
                <w:bCs w:val="1"/>
                <w:rtl w:val="0"/>
              </w:rPr>
              <w:t xml:space="preserve">Actividad</w:t>
            </w:r>
            <w:r w:rsidDel="00000000" w:rsidR="00000000" w:rsidRPr="00000000">
              <w:rPr>
                <w:rtl w:val="0"/>
              </w:rPr>
            </w:r>
          </w:p>
        </w:tc>
        <w:tc>
          <w:tcPr/>
          <w:p w:rsidR="00000000" w:rsidDel="00000000" w:rsidP="00000000" w:rsidRDefault="00000000" w:rsidRPr="00000000" w14:paraId="0000002D">
            <w:pPr>
              <w:rPr/>
            </w:pPr>
            <w:r w:rsidDel="00000000" w:rsidR="00000000" w:rsidRPr="00000000">
              <w:rPr>
                <w:b w:val="1"/>
                <w:bCs w:val="1"/>
                <w:rtl w:val="0"/>
              </w:rPr>
              <w:t xml:space="preserve">Responsable</w:t>
            </w:r>
            <w:r w:rsidDel="00000000" w:rsidR="00000000" w:rsidRPr="00000000">
              <w:rPr>
                <w:rtl w:val="0"/>
              </w:rPr>
            </w:r>
          </w:p>
        </w:tc>
        <w:tc>
          <w:tcPr/>
          <w:p w:rsidR="00000000" w:rsidDel="00000000" w:rsidP="00000000" w:rsidRDefault="00000000" w:rsidRPr="00000000" w14:paraId="0000002E">
            <w:pPr>
              <w:rPr/>
            </w:pPr>
            <w:r w:rsidDel="00000000" w:rsidR="00000000" w:rsidRPr="00000000">
              <w:rPr>
                <w:b w:val="1"/>
                <w:bCs w:val="1"/>
                <w:rtl w:val="0"/>
              </w:rPr>
              <w:t xml:space="preserve">Acción / Canales</w:t>
            </w:r>
            <w:r w:rsidDel="00000000" w:rsidR="00000000" w:rsidRPr="00000000">
              <w:rPr>
                <w:rtl w:val="0"/>
              </w:rPr>
            </w:r>
          </w:p>
        </w:tc>
      </w:tr>
      <w:tr>
        <w:trPr>
          <w:cantSplit w:val="0"/>
          <w:tblHeader w:val="0"/>
        </w:trPr>
        <w:tc>
          <w:tcPr/>
          <w:p w:rsidR="00000000" w:rsidDel="00000000" w:rsidP="00000000" w:rsidRDefault="00000000" w:rsidRPr="00000000" w14:paraId="0000002F">
            <w:pPr>
              <w:rPr/>
            </w:pPr>
            <w:r w:rsidDel="00000000" w:rsidR="00000000" w:rsidRPr="00000000">
              <w:rPr>
                <w:rtl w:val="0"/>
              </w:rPr>
              <w:t xml:space="preserve">1. Identificación y medidas inmediatas</w:t>
            </w:r>
          </w:p>
        </w:tc>
        <w:tc>
          <w:tcPr/>
          <w:p w:rsidR="00000000" w:rsidDel="00000000" w:rsidP="00000000" w:rsidRDefault="00000000" w:rsidRPr="00000000" w14:paraId="00000030">
            <w:pPr>
              <w:rPr/>
            </w:pPr>
            <w:r w:rsidDel="00000000" w:rsidR="00000000" w:rsidRPr="00000000">
              <w:rPr>
                <w:rtl w:val="0"/>
              </w:rPr>
              <w:t xml:space="preserve">Reconocimiento de la cefalea y valoración de signos de alarma (</w:t>
            </w:r>
            <w:r w:rsidDel="00000000" w:rsidR="00000000" w:rsidRPr="00000000">
              <w:rPr>
                <w:rtl w:val="0"/>
              </w:rPr>
              <w:t xml:space="preserve">SNNOOP10</w:t>
            </w:r>
            <w:r w:rsidDel="00000000" w:rsidR="00000000" w:rsidRPr="00000000">
              <w:rPr>
                <w:rtl w:val="0"/>
              </w:rPr>
              <w:t xml:space="preserve">); ante criterios de emergencia (cefalea en trueno, fiebre con signos meníngeos, déficit focal, alteración de conciencia), activación inmediata de la ruta de urgencias.</w:t>
            </w:r>
          </w:p>
        </w:tc>
        <w:tc>
          <w:tcPr/>
          <w:p w:rsidR="00000000" w:rsidDel="00000000" w:rsidP="00000000" w:rsidRDefault="00000000" w:rsidRPr="00000000" w14:paraId="00000031">
            <w:pPr>
              <w:rPr/>
            </w:pPr>
            <w:r w:rsidDel="00000000" w:rsidR="00000000" w:rsidRPr="00000000">
              <w:rPr>
                <w:rtl w:val="0"/>
              </w:rPr>
              <w:t xml:space="preserve">Profesional asistencial presencial / Centro Remisor</w:t>
            </w:r>
          </w:p>
        </w:tc>
        <w:tc>
          <w:tcPr/>
          <w:p w:rsidR="00000000" w:rsidDel="00000000" w:rsidP="00000000" w:rsidRDefault="00000000" w:rsidRPr="00000000" w14:paraId="00000032">
            <w:pPr>
              <w:rPr/>
            </w:pPr>
            <w:r w:rsidDel="00000000" w:rsidR="00000000" w:rsidRPr="00000000">
              <w:rPr>
                <w:rtl w:val="0"/>
              </w:rPr>
              <w:t xml:space="preserve">Atención presencial en el centro remisor; estabilización inicial antes de solicitar el concepto.</w:t>
            </w:r>
          </w:p>
        </w:tc>
      </w:tr>
      <w:tr>
        <w:trPr>
          <w:cantSplit w:val="0"/>
          <w:tblHeader w:val="0"/>
        </w:trPr>
        <w:tc>
          <w:tcPr/>
          <w:p w:rsidR="00000000" w:rsidDel="00000000" w:rsidP="00000000" w:rsidRDefault="00000000" w:rsidRPr="00000000" w14:paraId="00000033">
            <w:pPr>
              <w:rPr/>
            </w:pPr>
            <w:r w:rsidDel="00000000" w:rsidR="00000000" w:rsidRPr="00000000">
              <w:rPr>
                <w:rtl w:val="0"/>
              </w:rPr>
              <w:t xml:space="preserve">2. Verificación y consentimiento</w:t>
            </w:r>
          </w:p>
        </w:tc>
        <w:tc>
          <w:tcPr/>
          <w:p w:rsidR="00000000" w:rsidDel="00000000" w:rsidP="00000000" w:rsidRDefault="00000000" w:rsidRPr="00000000" w14:paraId="00000034">
            <w:pPr>
              <w:rPr/>
            </w:pPr>
            <w:r w:rsidDel="00000000" w:rsidR="00000000" w:rsidRPr="00000000">
              <w:rPr>
                <w:rtl w:val="0"/>
              </w:rPr>
              <w:t xml:space="preserve">Verificación de identidad del paciente y del profesional solicitante; información y registro del consentimiento informado para la atención por telesalud.</w:t>
            </w:r>
          </w:p>
        </w:tc>
        <w:tc>
          <w:tcPr/>
          <w:p w:rsidR="00000000" w:rsidDel="00000000" w:rsidP="00000000" w:rsidRDefault="00000000" w:rsidRPr="00000000" w14:paraId="00000035">
            <w:pPr>
              <w:rPr/>
            </w:pPr>
            <w:r w:rsidDel="00000000" w:rsidR="00000000" w:rsidRPr="00000000">
              <w:rPr>
                <w:rtl w:val="0"/>
              </w:rPr>
              <w:t xml:space="preserve">Profesional solicitante / Centro Remisor</w:t>
            </w:r>
          </w:p>
        </w:tc>
        <w:tc>
          <w:tcPr/>
          <w:p w:rsidR="00000000" w:rsidDel="00000000" w:rsidP="00000000" w:rsidRDefault="00000000" w:rsidRPr="00000000" w14:paraId="00000036">
            <w:pPr>
              <w:rPr/>
            </w:pPr>
            <w:r w:rsidDel="00000000" w:rsidR="00000000" w:rsidRPr="00000000">
              <w:rPr>
                <w:rtl w:val="0"/>
              </w:rPr>
              <w:t xml:space="preserve">Registro del consentimiento en la historia clínica institucional.</w:t>
            </w:r>
          </w:p>
        </w:tc>
      </w:tr>
      <w:tr>
        <w:trPr>
          <w:cantSplit w:val="0"/>
          <w:tblHeader w:val="0"/>
        </w:trPr>
        <w:tc>
          <w:tcPr/>
          <w:p w:rsidR="00000000" w:rsidDel="00000000" w:rsidP="00000000" w:rsidRDefault="00000000" w:rsidRPr="00000000" w14:paraId="00000037">
            <w:pPr>
              <w:rPr/>
            </w:pPr>
            <w:r w:rsidDel="00000000" w:rsidR="00000000" w:rsidRPr="00000000">
              <w:rPr>
                <w:rtl w:val="0"/>
              </w:rPr>
              <w:t xml:space="preserve">3. Diligenciamiento y envío de datos</w:t>
            </w:r>
          </w:p>
        </w:tc>
        <w:tc>
          <w:tcPr/>
          <w:p w:rsidR="00000000" w:rsidDel="00000000" w:rsidP="00000000" w:rsidRDefault="00000000" w:rsidRPr="00000000" w14:paraId="00000038">
            <w:pPr>
              <w:rPr/>
            </w:pPr>
            <w:r w:rsidDel="00000000" w:rsidR="00000000" w:rsidRPr="00000000">
              <w:rPr>
                <w:rtl w:val="0"/>
              </w:rPr>
              <w:t xml:space="preserve">Consolidación de la caracterización cronológica del dolor, los síntomas asociados, los factores de riesgo, el tratamiento previo y el examen físico básico (signos vitales con presión arterial y temperatura, fondo de ojo y signos meníngeos).</w:t>
            </w:r>
          </w:p>
        </w:tc>
        <w:tc>
          <w:tcPr/>
          <w:p w:rsidR="00000000" w:rsidDel="00000000" w:rsidP="00000000" w:rsidRDefault="00000000" w:rsidRPr="00000000" w14:paraId="00000039">
            <w:pPr>
              <w:rPr/>
            </w:pPr>
            <w:r w:rsidDel="00000000" w:rsidR="00000000" w:rsidRPr="00000000">
              <w:rPr>
                <w:rtl w:val="0"/>
              </w:rPr>
              <w:t xml:space="preserve">Profesional solicitante / Centro Remisor</w:t>
            </w:r>
          </w:p>
        </w:tc>
        <w:tc>
          <w:tcPr/>
          <w:p w:rsidR="00000000" w:rsidDel="00000000" w:rsidP="00000000" w:rsidRDefault="00000000" w:rsidRPr="00000000" w14:paraId="0000003A">
            <w:pPr>
              <w:rPr/>
            </w:pPr>
            <w:r w:rsidDel="00000000" w:rsidR="00000000" w:rsidRPr="00000000">
              <w:rPr>
                <w:rtl w:val="0"/>
              </w:rPr>
              <w:t xml:space="preserve">Envío por la plataforma institucional de telesalud / sistema de historia clínica electrónica y canales seguros autorizados.</w:t>
            </w:r>
          </w:p>
        </w:tc>
      </w:tr>
      <w:tr>
        <w:trPr>
          <w:cantSplit w:val="0"/>
          <w:tblHeader w:val="0"/>
        </w:trPr>
        <w:tc>
          <w:tcPr/>
          <w:p w:rsidR="00000000" w:rsidDel="00000000" w:rsidP="00000000" w:rsidRDefault="00000000" w:rsidRPr="00000000" w14:paraId="0000003B">
            <w:pPr>
              <w:rPr/>
            </w:pPr>
            <w:r w:rsidDel="00000000" w:rsidR="00000000" w:rsidRPr="00000000">
              <w:rPr>
                <w:rtl w:val="0"/>
              </w:rPr>
              <w:t xml:space="preserve">4. Recepción y validación</w:t>
            </w:r>
          </w:p>
        </w:tc>
        <w:tc>
          <w:tcPr/>
          <w:p w:rsidR="00000000" w:rsidDel="00000000" w:rsidP="00000000" w:rsidRDefault="00000000" w:rsidRPr="00000000" w14:paraId="0000003C">
            <w:pPr>
              <w:rPr/>
            </w:pPr>
            <w:r w:rsidDel="00000000" w:rsidR="00000000" w:rsidRPr="00000000">
              <w:rPr>
                <w:rtl w:val="0"/>
              </w:rPr>
              <w:t xml:space="preserve">Recepción de la solicitud, verificación de la completitud de la información clínica y priorización según la presencia de banderas rojas.</w:t>
            </w:r>
          </w:p>
        </w:tc>
        <w:tc>
          <w:tcPr/>
          <w:p w:rsidR="00000000" w:rsidDel="00000000" w:rsidP="00000000" w:rsidRDefault="00000000" w:rsidRPr="00000000" w14:paraId="0000003D">
            <w:pPr>
              <w:rPr/>
            </w:pPr>
            <w:r w:rsidDel="00000000" w:rsidR="00000000" w:rsidRPr="00000000">
              <w:rPr>
                <w:rtl w:val="0"/>
              </w:rPr>
              <w:t xml:space="preserve">Centro Referente / profesional experto</w:t>
            </w:r>
          </w:p>
        </w:tc>
        <w:tc>
          <w:tcPr/>
          <w:p w:rsidR="00000000" w:rsidDel="00000000" w:rsidP="00000000" w:rsidRDefault="00000000" w:rsidRPr="00000000" w14:paraId="0000003E">
            <w:pPr>
              <w:rPr/>
            </w:pPr>
            <w:r w:rsidDel="00000000" w:rsidR="00000000" w:rsidRPr="00000000">
              <w:rPr>
                <w:rtl w:val="0"/>
              </w:rPr>
              <w:t xml:space="preserve">Consulta del caso en el sistema de historia clínica; solicitud de datos faltantes si aplica.</w:t>
            </w:r>
          </w:p>
        </w:tc>
      </w:tr>
      <w:tr>
        <w:trPr>
          <w:cantSplit w:val="0"/>
          <w:tblHeader w:val="0"/>
        </w:trPr>
        <w:tc>
          <w:tcPr/>
          <w:p w:rsidR="00000000" w:rsidDel="00000000" w:rsidP="00000000" w:rsidRDefault="00000000" w:rsidRPr="00000000" w14:paraId="0000003F">
            <w:pPr>
              <w:rPr/>
            </w:pPr>
            <w:r w:rsidDel="00000000" w:rsidR="00000000" w:rsidRPr="00000000">
              <w:rPr>
                <w:rtl w:val="0"/>
              </w:rPr>
              <w:t xml:space="preserve">5. Análisis y concepto clínico</w:t>
            </w:r>
          </w:p>
        </w:tc>
        <w:tc>
          <w:tcPr/>
          <w:p w:rsidR="00000000" w:rsidDel="00000000" w:rsidP="00000000" w:rsidRDefault="00000000" w:rsidRPr="00000000" w14:paraId="00000040">
            <w:pPr>
              <w:rPr/>
            </w:pPr>
            <w:r w:rsidDel="00000000" w:rsidR="00000000" w:rsidRPr="00000000">
              <w:rPr>
                <w:rtl w:val="0"/>
              </w:rPr>
              <w:t xml:space="preserve">Evaluación de las banderas rojas (</w:t>
            </w:r>
            <w:r w:rsidDel="00000000" w:rsidR="00000000" w:rsidRPr="00000000">
              <w:rPr>
                <w:rtl w:val="0"/>
              </w:rPr>
              <w:t xml:space="preserve">SNNOOP10</w:t>
            </w:r>
            <w:r w:rsidDel="00000000" w:rsidR="00000000" w:rsidRPr="00000000">
              <w:rPr>
                <w:rtl w:val="0"/>
              </w:rPr>
              <w:t xml:space="preserve">), diferenciación entre cefalea primaria y secundaria, y definición de la necesidad y modalidad de neuroimagen (TC emergente frente a RM programada) y de la conducta (manejo en el sitio, remisión o interconsulta a neurología).</w:t>
            </w:r>
          </w:p>
        </w:tc>
        <w:tc>
          <w:tcPr/>
          <w:p w:rsidR="00000000" w:rsidDel="00000000" w:rsidP="00000000" w:rsidRDefault="00000000" w:rsidRPr="00000000" w14:paraId="00000041">
            <w:pPr>
              <w:rPr/>
            </w:pPr>
            <w:r w:rsidDel="00000000" w:rsidR="00000000" w:rsidRPr="00000000">
              <w:rPr>
                <w:rtl w:val="0"/>
              </w:rPr>
              <w:t xml:space="preserve">Profesional experto</w:t>
            </w:r>
          </w:p>
        </w:tc>
        <w:tc>
          <w:tcPr/>
          <w:p w:rsidR="00000000" w:rsidDel="00000000" w:rsidP="00000000" w:rsidRDefault="00000000" w:rsidRPr="00000000" w14:paraId="00000042">
            <w:pPr>
              <w:rPr/>
            </w:pPr>
            <w:r w:rsidDel="00000000" w:rsidR="00000000" w:rsidRPr="00000000">
              <w:rPr>
                <w:rtl w:val="0"/>
              </w:rPr>
              <w:t xml:space="preserve">Registro del concepto en el sistema de historia clínica.</w:t>
            </w:r>
          </w:p>
        </w:tc>
      </w:tr>
      <w:tr>
        <w:trPr>
          <w:cantSplit w:val="0"/>
          <w:tblHeader w:val="0"/>
        </w:trPr>
        <w:tc>
          <w:tcPr/>
          <w:p w:rsidR="00000000" w:rsidDel="00000000" w:rsidP="00000000" w:rsidRDefault="00000000" w:rsidRPr="00000000" w14:paraId="00000043">
            <w:pPr>
              <w:rPr/>
            </w:pPr>
            <w:r w:rsidDel="00000000" w:rsidR="00000000" w:rsidRPr="00000000">
              <w:rPr>
                <w:rtl w:val="0"/>
              </w:rPr>
              <w:t xml:space="preserve">6. Envío de ordenamiento</w:t>
            </w:r>
          </w:p>
        </w:tc>
        <w:tc>
          <w:tcPr/>
          <w:p w:rsidR="00000000" w:rsidDel="00000000" w:rsidP="00000000" w:rsidRDefault="00000000" w:rsidRPr="00000000" w14:paraId="00000044">
            <w:pPr>
              <w:rPr/>
            </w:pPr>
            <w:r w:rsidDel="00000000" w:rsidR="00000000" w:rsidRPr="00000000">
              <w:rPr>
                <w:rtl w:val="0"/>
              </w:rPr>
              <w:t xml:space="preserve">Emisión de recomendaciones de manejo, plan de estudio, criterios de seguimiento y programación de controles según cada caso.</w:t>
            </w:r>
          </w:p>
        </w:tc>
        <w:tc>
          <w:tcPr/>
          <w:p w:rsidR="00000000" w:rsidDel="00000000" w:rsidP="00000000" w:rsidRDefault="00000000" w:rsidRPr="00000000" w14:paraId="00000045">
            <w:pPr>
              <w:rPr/>
            </w:pPr>
            <w:r w:rsidDel="00000000" w:rsidR="00000000" w:rsidRPr="00000000">
              <w:rPr>
                <w:rtl w:val="0"/>
              </w:rPr>
              <w:t xml:space="preserve">Profesional experto</w:t>
            </w:r>
          </w:p>
        </w:tc>
        <w:tc>
          <w:tcPr/>
          <w:p w:rsidR="00000000" w:rsidDel="00000000" w:rsidP="00000000" w:rsidRDefault="00000000" w:rsidRPr="00000000" w14:paraId="00000046">
            <w:pPr>
              <w:rPr/>
            </w:pPr>
            <w:r w:rsidDel="00000000" w:rsidR="00000000" w:rsidRPr="00000000">
              <w:rPr>
                <w:rtl w:val="0"/>
              </w:rPr>
              <w:t xml:space="preserve">Envío del concepto y del plan por la plataforma institucional al centro remisor.</w:t>
            </w:r>
          </w:p>
        </w:tc>
      </w:tr>
    </w:tbl>
    <w:p w:rsidR="00000000" w:rsidDel="00000000" w:rsidP="00000000" w:rsidRDefault="00000000" w:rsidRPr="00000000" w14:paraId="00000047">
      <w:pPr>
        <w:pStyle w:val="Heading1"/>
        <w:rPr/>
      </w:pPr>
      <w:r w:rsidDel="00000000" w:rsidR="00000000" w:rsidRPr="00000000">
        <w:rPr>
          <w:rtl w:val="0"/>
        </w:rPr>
        <w:t xml:space="preserve">8. Banderas Rojas: Acrónimo </w:t>
      </w:r>
      <w:r w:rsidDel="00000000" w:rsidR="00000000" w:rsidRPr="00000000">
        <w:rPr>
          <w:rtl w:val="0"/>
        </w:rPr>
        <w:t xml:space="preserve">SNNOOP10</w:t>
      </w:r>
      <w:r w:rsidDel="00000000" w:rsidR="00000000" w:rsidRPr="00000000">
        <w:rPr>
          <w:rtl w:val="0"/>
        </w:rPr>
      </w:r>
    </w:p>
    <w:tbl>
      <w:tblPr>
        <w:tblStyle w:val="Table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3"/>
        <w:gridCol w:w="2943"/>
        <w:gridCol w:w="2942"/>
        <w:tblGridChange w:id="0">
          <w:tblGrid>
            <w:gridCol w:w="2943"/>
            <w:gridCol w:w="2943"/>
            <w:gridCol w:w="2942"/>
          </w:tblGrid>
        </w:tblGridChange>
      </w:tblGrid>
      <w:tr>
        <w:trPr>
          <w:cantSplit w:val="0"/>
          <w:tblHeader w:val="0"/>
        </w:trPr>
        <w:tc>
          <w:tcPr/>
          <w:p w:rsidR="00000000" w:rsidDel="00000000" w:rsidP="00000000" w:rsidRDefault="00000000" w:rsidRPr="00000000" w14:paraId="00000048">
            <w:pPr>
              <w:rPr/>
            </w:pPr>
            <w:r w:rsidDel="00000000" w:rsidR="00000000" w:rsidRPr="00000000">
              <w:rPr>
                <w:b w:val="1"/>
                <w:bCs w:val="1"/>
                <w:rtl w:val="0"/>
              </w:rPr>
              <w:t xml:space="preserve">Componente</w:t>
            </w:r>
            <w:r w:rsidDel="00000000" w:rsidR="00000000" w:rsidRPr="00000000">
              <w:rPr>
                <w:rtl w:val="0"/>
              </w:rPr>
            </w:r>
          </w:p>
        </w:tc>
        <w:tc>
          <w:tcPr/>
          <w:p w:rsidR="00000000" w:rsidDel="00000000" w:rsidP="00000000" w:rsidRDefault="00000000" w:rsidRPr="00000000" w14:paraId="00000049">
            <w:pPr>
              <w:rPr/>
            </w:pPr>
            <w:r w:rsidDel="00000000" w:rsidR="00000000" w:rsidRPr="00000000">
              <w:rPr>
                <w:b w:val="1"/>
                <w:bCs w:val="1"/>
                <w:rtl w:val="0"/>
              </w:rPr>
              <w:t xml:space="preserve">Hallazgo de alarma</w:t>
            </w:r>
            <w:r w:rsidDel="00000000" w:rsidR="00000000" w:rsidRPr="00000000">
              <w:rPr>
                <w:rtl w:val="0"/>
              </w:rPr>
            </w:r>
          </w:p>
        </w:tc>
        <w:tc>
          <w:tcPr/>
          <w:p w:rsidR="00000000" w:rsidDel="00000000" w:rsidP="00000000" w:rsidRDefault="00000000" w:rsidRPr="00000000" w14:paraId="0000004A">
            <w:pPr>
              <w:rPr/>
            </w:pPr>
            <w:r w:rsidDel="00000000" w:rsidR="00000000" w:rsidRPr="00000000">
              <w:rPr>
                <w:b w:val="1"/>
                <w:bCs w:val="1"/>
                <w:rtl w:val="0"/>
              </w:rPr>
              <w:t xml:space="preserve">Sospecha a considerar</w:t>
            </w:r>
            <w:r w:rsidDel="00000000" w:rsidR="00000000" w:rsidRPr="00000000">
              <w:rPr>
                <w:rtl w:val="0"/>
              </w:rPr>
            </w:r>
          </w:p>
        </w:tc>
      </w:tr>
      <w:tr>
        <w:trPr>
          <w:cantSplit w:val="0"/>
          <w:tblHeader w:val="0"/>
        </w:trPr>
        <w:tc>
          <w:tcPr/>
          <w:p w:rsidR="00000000" w:rsidDel="00000000" w:rsidP="00000000" w:rsidRDefault="00000000" w:rsidRPr="00000000" w14:paraId="0000004B">
            <w:pPr>
              <w:rPr/>
            </w:pPr>
            <w:r w:rsidDel="00000000" w:rsidR="00000000" w:rsidRPr="00000000">
              <w:rPr>
                <w:rtl w:val="0"/>
              </w:rPr>
              <w:t xml:space="preserve">S — Síntomas sistémicos</w:t>
            </w:r>
          </w:p>
        </w:tc>
        <w:tc>
          <w:tcPr/>
          <w:p w:rsidR="00000000" w:rsidDel="00000000" w:rsidP="00000000" w:rsidRDefault="00000000" w:rsidRPr="00000000" w14:paraId="0000004C">
            <w:pPr>
              <w:rPr/>
            </w:pPr>
            <w:r w:rsidDel="00000000" w:rsidR="00000000" w:rsidRPr="00000000">
              <w:rPr>
                <w:rtl w:val="0"/>
              </w:rPr>
              <w:t xml:space="preserve">Fiebre, hipertensión, pérdida de peso</w:t>
            </w:r>
          </w:p>
        </w:tc>
        <w:tc>
          <w:tcPr/>
          <w:p w:rsidR="00000000" w:rsidDel="00000000" w:rsidP="00000000" w:rsidRDefault="00000000" w:rsidRPr="00000000" w14:paraId="0000004D">
            <w:pPr>
              <w:rPr/>
            </w:pPr>
            <w:r w:rsidDel="00000000" w:rsidR="00000000" w:rsidRPr="00000000">
              <w:rPr>
                <w:rtl w:val="0"/>
              </w:rPr>
              <w:t xml:space="preserve">Meningitis, encefalitis, arteritis de células gigantes</w:t>
            </w:r>
          </w:p>
        </w:tc>
      </w:tr>
      <w:tr>
        <w:trPr>
          <w:cantSplit w:val="0"/>
          <w:tblHeader w:val="0"/>
        </w:trPr>
        <w:tc>
          <w:tcPr/>
          <w:p w:rsidR="00000000" w:rsidDel="00000000" w:rsidP="00000000" w:rsidRDefault="00000000" w:rsidRPr="00000000" w14:paraId="0000004E">
            <w:pPr>
              <w:rPr/>
            </w:pPr>
            <w:r w:rsidDel="00000000" w:rsidR="00000000" w:rsidRPr="00000000">
              <w:rPr>
                <w:rtl w:val="0"/>
              </w:rPr>
              <w:t xml:space="preserve">N — Neoplasia (antecedente)</w:t>
            </w:r>
          </w:p>
        </w:tc>
        <w:tc>
          <w:tcPr/>
          <w:p w:rsidR="00000000" w:rsidDel="00000000" w:rsidP="00000000" w:rsidRDefault="00000000" w:rsidRPr="00000000" w14:paraId="0000004F">
            <w:pPr>
              <w:rPr/>
            </w:pPr>
            <w:r w:rsidDel="00000000" w:rsidR="00000000" w:rsidRPr="00000000">
              <w:rPr>
                <w:rtl w:val="0"/>
              </w:rPr>
              <w:t xml:space="preserve">Antecedente de cáncer</w:t>
            </w:r>
          </w:p>
        </w:tc>
        <w:tc>
          <w:tcPr/>
          <w:p w:rsidR="00000000" w:rsidDel="00000000" w:rsidP="00000000" w:rsidRDefault="00000000" w:rsidRPr="00000000" w14:paraId="00000050">
            <w:pPr>
              <w:rPr/>
            </w:pPr>
            <w:r w:rsidDel="00000000" w:rsidR="00000000" w:rsidRPr="00000000">
              <w:rPr>
                <w:rtl w:val="0"/>
              </w:rPr>
              <w:t xml:space="preserve">Metástasis cerebrales, neoplasia intracraneal</w:t>
            </w:r>
          </w:p>
        </w:tc>
      </w:tr>
      <w:tr>
        <w:trPr>
          <w:cantSplit w:val="0"/>
          <w:tblHeader w:val="0"/>
        </w:trPr>
        <w:tc>
          <w:tcPr/>
          <w:p w:rsidR="00000000" w:rsidDel="00000000" w:rsidP="00000000" w:rsidRDefault="00000000" w:rsidRPr="00000000" w14:paraId="00000051">
            <w:pPr>
              <w:rPr/>
            </w:pPr>
            <w:r w:rsidDel="00000000" w:rsidR="00000000" w:rsidRPr="00000000">
              <w:rPr>
                <w:rtl w:val="0"/>
              </w:rPr>
              <w:t xml:space="preserve">N — Déficit neurológico</w:t>
            </w:r>
          </w:p>
        </w:tc>
        <w:tc>
          <w:tcPr/>
          <w:p w:rsidR="00000000" w:rsidDel="00000000" w:rsidP="00000000" w:rsidRDefault="00000000" w:rsidRPr="00000000" w14:paraId="00000052">
            <w:pPr>
              <w:rPr/>
            </w:pPr>
            <w:r w:rsidDel="00000000" w:rsidR="00000000" w:rsidRPr="00000000">
              <w:rPr>
                <w:rtl w:val="0"/>
              </w:rPr>
              <w:t xml:space="preserve">Alteración de conciencia o déficit focal</w:t>
            </w:r>
          </w:p>
        </w:tc>
        <w:tc>
          <w:tcPr/>
          <w:p w:rsidR="00000000" w:rsidDel="00000000" w:rsidP="00000000" w:rsidRDefault="00000000" w:rsidRPr="00000000" w14:paraId="00000053">
            <w:pPr>
              <w:rPr/>
            </w:pPr>
            <w:r w:rsidDel="00000000" w:rsidR="00000000" w:rsidRPr="00000000">
              <w:rPr>
                <w:rtl w:val="0"/>
              </w:rPr>
              <w:t xml:space="preserve">Infección del SNC, malformación vascular, ataque cerebrovascular, lesión de masa</w:t>
            </w:r>
          </w:p>
        </w:tc>
      </w:tr>
      <w:tr>
        <w:trPr>
          <w:cantSplit w:val="0"/>
          <w:tblHeader w:val="0"/>
        </w:trPr>
        <w:tc>
          <w:tcPr/>
          <w:p w:rsidR="00000000" w:rsidDel="00000000" w:rsidP="00000000" w:rsidRDefault="00000000" w:rsidRPr="00000000" w14:paraId="00000054">
            <w:pPr>
              <w:rPr/>
            </w:pPr>
            <w:r w:rsidDel="00000000" w:rsidR="00000000" w:rsidRPr="00000000">
              <w:rPr>
                <w:rtl w:val="0"/>
              </w:rPr>
              <w:t xml:space="preserve">O — Inicio súbito (onset)</w:t>
            </w:r>
          </w:p>
        </w:tc>
        <w:tc>
          <w:tcPr/>
          <w:p w:rsidR="00000000" w:rsidDel="00000000" w:rsidP="00000000" w:rsidRDefault="00000000" w:rsidRPr="00000000" w14:paraId="00000055">
            <w:pPr>
              <w:rPr/>
            </w:pPr>
            <w:r w:rsidDel="00000000" w:rsidR="00000000" w:rsidRPr="00000000">
              <w:rPr>
                <w:rtl w:val="0"/>
              </w:rPr>
              <w:t xml:space="preserve">Cefalea en trueno (máxima intensidad en menos de 60 segundos)</w:t>
            </w:r>
          </w:p>
        </w:tc>
        <w:tc>
          <w:tcPr/>
          <w:p w:rsidR="00000000" w:rsidDel="00000000" w:rsidP="00000000" w:rsidRDefault="00000000" w:rsidRPr="00000000" w14:paraId="00000056">
            <w:pPr>
              <w:rPr/>
            </w:pPr>
            <w:r w:rsidDel="00000000" w:rsidR="00000000" w:rsidRPr="00000000">
              <w:rPr>
                <w:rtl w:val="0"/>
              </w:rPr>
              <w:t xml:space="preserve">Hemorragia subaracnoidea, síndrome de vasoconstricción cerebral reversible</w:t>
            </w:r>
          </w:p>
        </w:tc>
      </w:tr>
      <w:tr>
        <w:trPr>
          <w:cantSplit w:val="0"/>
          <w:tblHeader w:val="0"/>
        </w:trPr>
        <w:tc>
          <w:tcPr/>
          <w:p w:rsidR="00000000" w:rsidDel="00000000" w:rsidP="00000000" w:rsidRDefault="00000000" w:rsidRPr="00000000" w14:paraId="00000057">
            <w:pPr>
              <w:rPr/>
            </w:pPr>
            <w:r w:rsidDel="00000000" w:rsidR="00000000" w:rsidRPr="00000000">
              <w:rPr>
                <w:rtl w:val="0"/>
              </w:rPr>
              <w:t xml:space="preserve">O — Edad avanzada (older)</w:t>
            </w:r>
          </w:p>
        </w:tc>
        <w:tc>
          <w:tcPr/>
          <w:p w:rsidR="00000000" w:rsidDel="00000000" w:rsidP="00000000" w:rsidRDefault="00000000" w:rsidRPr="00000000" w14:paraId="00000058">
            <w:pPr>
              <w:rPr/>
            </w:pPr>
            <w:r w:rsidDel="00000000" w:rsidR="00000000" w:rsidRPr="00000000">
              <w:rPr>
                <w:rtl w:val="0"/>
              </w:rPr>
              <w:t xml:space="preserve">Inicio después de los 50 años</w:t>
            </w:r>
          </w:p>
        </w:tc>
        <w:tc>
          <w:tcPr/>
          <w:p w:rsidR="00000000" w:rsidDel="00000000" w:rsidP="00000000" w:rsidRDefault="00000000" w:rsidRPr="00000000" w14:paraId="00000059">
            <w:pPr>
              <w:rPr/>
            </w:pPr>
            <w:r w:rsidDel="00000000" w:rsidR="00000000" w:rsidRPr="00000000">
              <w:rPr>
                <w:rtl w:val="0"/>
              </w:rPr>
              <w:t xml:space="preserve">Arteritis de células gigantes, trastorno vascular, neoplasia</w:t>
            </w:r>
          </w:p>
        </w:tc>
      </w:tr>
      <w:tr>
        <w:trPr>
          <w:cantSplit w:val="0"/>
          <w:tblHeader w:val="0"/>
        </w:trPr>
        <w:tc>
          <w:tcPr/>
          <w:p w:rsidR="00000000" w:rsidDel="00000000" w:rsidP="00000000" w:rsidRDefault="00000000" w:rsidRPr="00000000" w14:paraId="0000005A">
            <w:pPr>
              <w:rPr/>
            </w:pPr>
            <w:r w:rsidDel="00000000" w:rsidR="00000000" w:rsidRPr="00000000">
              <w:rPr>
                <w:rtl w:val="0"/>
              </w:rPr>
              <w:t xml:space="preserve">P — Cambio de patrón</w:t>
            </w:r>
          </w:p>
        </w:tc>
        <w:tc>
          <w:tcPr/>
          <w:p w:rsidR="00000000" w:rsidDel="00000000" w:rsidP="00000000" w:rsidRDefault="00000000" w:rsidRPr="00000000" w14:paraId="0000005B">
            <w:pPr>
              <w:rPr/>
            </w:pPr>
            <w:r w:rsidDel="00000000" w:rsidR="00000000" w:rsidRPr="00000000">
              <w:rPr>
                <w:rtl w:val="0"/>
              </w:rPr>
              <w:t xml:space="preserve">Cambio en una cefalea preexistente o cefalea de inicio reciente</w:t>
            </w:r>
          </w:p>
        </w:tc>
        <w:tc>
          <w:tcPr/>
          <w:p w:rsidR="00000000" w:rsidDel="00000000" w:rsidP="00000000" w:rsidRDefault="00000000" w:rsidRPr="00000000" w14:paraId="0000005C">
            <w:pPr>
              <w:rPr/>
            </w:pPr>
            <w:r w:rsidDel="00000000" w:rsidR="00000000" w:rsidRPr="00000000">
              <w:rPr>
                <w:rtl w:val="0"/>
              </w:rPr>
              <w:t xml:space="preserve">Lesión de masa, trastorno intracraneal, abuso de medicación</w:t>
            </w:r>
          </w:p>
        </w:tc>
      </w:tr>
      <w:tr>
        <w:trPr>
          <w:cantSplit w:val="0"/>
          <w:tblHeader w:val="0"/>
        </w:trPr>
        <w:tc>
          <w:tcPr/>
          <w:p w:rsidR="00000000" w:rsidDel="00000000" w:rsidP="00000000" w:rsidRDefault="00000000" w:rsidRPr="00000000" w14:paraId="0000005D">
            <w:pPr>
              <w:rPr/>
            </w:pPr>
            <w:r w:rsidDel="00000000" w:rsidR="00000000" w:rsidRPr="00000000">
              <w:rPr>
                <w:rtl w:val="0"/>
              </w:rPr>
              <w:t xml:space="preserve">P — Posicional</w:t>
            </w:r>
          </w:p>
        </w:tc>
        <w:tc>
          <w:tcPr/>
          <w:p w:rsidR="00000000" w:rsidDel="00000000" w:rsidP="00000000" w:rsidRDefault="00000000" w:rsidRPr="00000000" w14:paraId="0000005E">
            <w:pPr>
              <w:rPr/>
            </w:pPr>
            <w:r w:rsidDel="00000000" w:rsidR="00000000" w:rsidRPr="00000000">
              <w:rPr>
                <w:rtl w:val="0"/>
              </w:rPr>
              <w:t xml:space="preserve">Cefalea que cambia con la posición</w:t>
            </w:r>
          </w:p>
        </w:tc>
        <w:tc>
          <w:tcPr/>
          <w:p w:rsidR="00000000" w:rsidDel="00000000" w:rsidP="00000000" w:rsidRDefault="00000000" w:rsidRPr="00000000" w14:paraId="0000005F">
            <w:pPr>
              <w:rPr/>
            </w:pPr>
            <w:r w:rsidDel="00000000" w:rsidR="00000000" w:rsidRPr="00000000">
              <w:rPr>
                <w:rtl w:val="0"/>
              </w:rPr>
              <w:t xml:space="preserve">Hipertensión o hipotensión intracraneal, fístula de LCR</w:t>
            </w:r>
          </w:p>
        </w:tc>
      </w:tr>
      <w:tr>
        <w:trPr>
          <w:cantSplit w:val="0"/>
          <w:tblHeader w:val="0"/>
        </w:trPr>
        <w:tc>
          <w:tcPr/>
          <w:p w:rsidR="00000000" w:rsidDel="00000000" w:rsidP="00000000" w:rsidRDefault="00000000" w:rsidRPr="00000000" w14:paraId="00000060">
            <w:pPr>
              <w:rPr/>
            </w:pPr>
            <w:r w:rsidDel="00000000" w:rsidR="00000000" w:rsidRPr="00000000">
              <w:rPr>
                <w:rtl w:val="0"/>
              </w:rPr>
              <w:t xml:space="preserve">P — Precipitada por Valsalva</w:t>
            </w:r>
          </w:p>
        </w:tc>
        <w:tc>
          <w:tcPr/>
          <w:p w:rsidR="00000000" w:rsidDel="00000000" w:rsidP="00000000" w:rsidRDefault="00000000" w:rsidRPr="00000000" w14:paraId="00000061">
            <w:pPr>
              <w:rPr/>
            </w:pPr>
            <w:r w:rsidDel="00000000" w:rsidR="00000000" w:rsidRPr="00000000">
              <w:rPr>
                <w:rtl w:val="0"/>
              </w:rPr>
              <w:t xml:space="preserve">Desencadenada por tos, estornudo o ejercicio</w:t>
            </w:r>
          </w:p>
        </w:tc>
        <w:tc>
          <w:tcPr/>
          <w:p w:rsidR="00000000" w:rsidDel="00000000" w:rsidP="00000000" w:rsidRDefault="00000000" w:rsidRPr="00000000" w14:paraId="00000062">
            <w:pPr>
              <w:rPr/>
            </w:pPr>
            <w:r w:rsidDel="00000000" w:rsidR="00000000" w:rsidRPr="00000000">
              <w:rPr>
                <w:rtl w:val="0"/>
              </w:rPr>
              <w:t xml:space="preserve">Lesión de fosa posterior, hemorragia subaracnoidea</w:t>
            </w:r>
          </w:p>
        </w:tc>
      </w:tr>
      <w:tr>
        <w:trPr>
          <w:cantSplit w:val="0"/>
          <w:tblHeader w:val="0"/>
        </w:trPr>
        <w:tc>
          <w:tcPr/>
          <w:p w:rsidR="00000000" w:rsidDel="00000000" w:rsidP="00000000" w:rsidRDefault="00000000" w:rsidRPr="00000000" w14:paraId="00000063">
            <w:pPr>
              <w:rPr/>
            </w:pPr>
            <w:r w:rsidDel="00000000" w:rsidR="00000000" w:rsidRPr="00000000">
              <w:rPr>
                <w:rtl w:val="0"/>
              </w:rPr>
              <w:t xml:space="preserve">P — Progresiva/atípica</w:t>
            </w:r>
          </w:p>
        </w:tc>
        <w:tc>
          <w:tcPr/>
          <w:p w:rsidR="00000000" w:rsidDel="00000000" w:rsidP="00000000" w:rsidRDefault="00000000" w:rsidRPr="00000000" w14:paraId="00000064">
            <w:pPr>
              <w:rPr/>
            </w:pPr>
            <w:r w:rsidDel="00000000" w:rsidR="00000000" w:rsidRPr="00000000">
              <w:rPr>
                <w:rtl w:val="0"/>
              </w:rPr>
              <w:t xml:space="preserve">Empeoramiento progresivo o presentación atípica</w:t>
            </w:r>
          </w:p>
        </w:tc>
        <w:tc>
          <w:tcPr/>
          <w:p w:rsidR="00000000" w:rsidDel="00000000" w:rsidP="00000000" w:rsidRDefault="00000000" w:rsidRPr="00000000" w14:paraId="00000065">
            <w:pPr>
              <w:rPr/>
            </w:pPr>
            <w:r w:rsidDel="00000000" w:rsidR="00000000" w:rsidRPr="00000000">
              <w:rPr>
                <w:rtl w:val="0"/>
              </w:rPr>
              <w:t xml:space="preserve">Lesión de masa, trastorno intracraneal</w:t>
            </w:r>
          </w:p>
        </w:tc>
      </w:tr>
      <w:tr>
        <w:trPr>
          <w:cantSplit w:val="0"/>
          <w:tblHeader w:val="0"/>
        </w:trPr>
        <w:tc>
          <w:tcPr/>
          <w:p w:rsidR="00000000" w:rsidDel="00000000" w:rsidP="00000000" w:rsidRDefault="00000000" w:rsidRPr="00000000" w14:paraId="00000066">
            <w:pPr>
              <w:rPr/>
            </w:pPr>
            <w:r w:rsidDel="00000000" w:rsidR="00000000" w:rsidRPr="00000000">
              <w:rPr>
                <w:rtl w:val="0"/>
              </w:rPr>
              <w:t xml:space="preserve">P — Papiledema</w:t>
            </w:r>
          </w:p>
        </w:tc>
        <w:tc>
          <w:tcPr/>
          <w:p w:rsidR="00000000" w:rsidDel="00000000" w:rsidP="00000000" w:rsidRDefault="00000000" w:rsidRPr="00000000" w14:paraId="00000067">
            <w:pPr>
              <w:rPr/>
            </w:pPr>
            <w:r w:rsidDel="00000000" w:rsidR="00000000" w:rsidRPr="00000000">
              <w:rPr>
                <w:rtl w:val="0"/>
              </w:rPr>
              <w:t xml:space="preserve">Edema de disco óptico al fondo de ojo</w:t>
            </w:r>
          </w:p>
        </w:tc>
        <w:tc>
          <w:tcPr/>
          <w:p w:rsidR="00000000" w:rsidDel="00000000" w:rsidP="00000000" w:rsidRDefault="00000000" w:rsidRPr="00000000" w14:paraId="00000068">
            <w:pPr>
              <w:rPr/>
            </w:pPr>
            <w:r w:rsidDel="00000000" w:rsidR="00000000" w:rsidRPr="00000000">
              <w:rPr>
                <w:rtl w:val="0"/>
              </w:rPr>
              <w:t xml:space="preserve">Hipertensión intracraneal, lesión de masa</w:t>
            </w:r>
          </w:p>
        </w:tc>
      </w:tr>
      <w:tr>
        <w:trPr>
          <w:cantSplit w:val="0"/>
          <w:tblHeader w:val="0"/>
        </w:trPr>
        <w:tc>
          <w:tcPr/>
          <w:p w:rsidR="00000000" w:rsidDel="00000000" w:rsidP="00000000" w:rsidRDefault="00000000" w:rsidRPr="00000000" w14:paraId="00000069">
            <w:pPr>
              <w:rPr/>
            </w:pPr>
            <w:r w:rsidDel="00000000" w:rsidR="00000000" w:rsidRPr="00000000">
              <w:rPr>
                <w:rtl w:val="0"/>
              </w:rPr>
              <w:t xml:space="preserve">P10 — Condiciones adicionales</w:t>
            </w:r>
          </w:p>
        </w:tc>
        <w:tc>
          <w:tcPr/>
          <w:p w:rsidR="00000000" w:rsidDel="00000000" w:rsidP="00000000" w:rsidRDefault="00000000" w:rsidRPr="00000000" w14:paraId="0000006A">
            <w:pPr>
              <w:rPr/>
            </w:pPr>
            <w:r w:rsidDel="00000000" w:rsidR="00000000" w:rsidRPr="00000000">
              <w:rPr>
                <w:rtl w:val="0"/>
              </w:rPr>
              <w:t xml:space="preserve">Embarazo o puerperio, inmunosupresión, inicio postraumático, abuso de analgésicos, ojo doloroso con síntomas autonómicos</w:t>
            </w:r>
          </w:p>
        </w:tc>
        <w:tc>
          <w:tcPr/>
          <w:p w:rsidR="00000000" w:rsidDel="00000000" w:rsidP="00000000" w:rsidRDefault="00000000" w:rsidRPr="00000000" w14:paraId="0000006B">
            <w:pPr>
              <w:rPr/>
            </w:pPr>
            <w:r w:rsidDel="00000000" w:rsidR="00000000" w:rsidRPr="00000000">
              <w:rPr>
                <w:rtl w:val="0"/>
              </w:rPr>
              <w:t xml:space="preserve">Trastorno vascular, infección oportunista, cefalea postraumática, cefalea por abuso de medicación</w:t>
            </w:r>
          </w:p>
        </w:tc>
      </w:tr>
    </w:tbl>
    <w:p w:rsidR="00000000" w:rsidDel="00000000" w:rsidP="00000000" w:rsidRDefault="00000000" w:rsidRPr="00000000" w14:paraId="0000006C">
      <w:pPr>
        <w:pStyle w:val="Heading1"/>
        <w:rPr/>
      </w:pPr>
      <w:r w:rsidDel="00000000" w:rsidR="00000000" w:rsidRPr="00000000">
        <w:rPr>
          <w:rtl w:val="0"/>
        </w:rPr>
        <w:t xml:space="preserve">9. Indicaciones de Neuroimagen</w:t>
      </w:r>
    </w:p>
    <w:p w:rsidR="00000000" w:rsidDel="00000000" w:rsidP="00000000" w:rsidRDefault="00000000" w:rsidRPr="00000000" w14:paraId="0000006D">
      <w:pPr>
        <w:jc w:val="both"/>
        <w:rPr/>
      </w:pPr>
      <w:r w:rsidDel="00000000" w:rsidR="00000000" w:rsidRPr="00000000">
        <w:rPr>
          <w:rtl w:val="0"/>
        </w:rPr>
        <w:t xml:space="preserve">Las cefaleas primarias sin banderas rojas y con examen neurológico normal no requieren neuroimagen.</w:t>
      </w:r>
    </w:p>
    <w:p w:rsidR="00000000" w:rsidDel="00000000" w:rsidP="00000000" w:rsidRDefault="00000000" w:rsidRPr="00000000" w14:paraId="0000006E">
      <w:pPr>
        <w:jc w:val="both"/>
        <w:rPr/>
      </w:pPr>
      <w:r w:rsidDel="00000000" w:rsidR="00000000" w:rsidRPr="00000000">
        <w:rPr>
          <w:rtl w:val="0"/>
        </w:rPr>
        <w:t xml:space="preserve">Neuroimagen emergente (TC de cráneo sin contraste)</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Cefalea en trueno (idealmente dentro de las primeras horas del inicio).</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Fiebre con signos meníngeos (complementar con punción lumbar).</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Papiledema con signos neurológicos focales o alteración de conciencia.</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Sospecha de glaucoma agudo (ojo doloroso, visión borrosa, halos).</w:t>
      </w:r>
    </w:p>
    <w:p w:rsidR="00000000" w:rsidDel="00000000" w:rsidP="00000000" w:rsidRDefault="00000000" w:rsidRPr="00000000" w14:paraId="00000073">
      <w:pPr>
        <w:jc w:val="both"/>
        <w:rPr/>
      </w:pPr>
      <w:r w:rsidDel="00000000" w:rsidR="00000000" w:rsidRPr="00000000">
        <w:rPr>
          <w:rtl w:val="0"/>
        </w:rPr>
        <w:t xml:space="preserve">Neuroimagen no emergente (preferiblemente RM cerebral)</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Edad de inicio después de los 50 años.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Déficit neurológico focal al examen.</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Cambio en el patrón de una cefalea preexistente.</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Cefalea progresiva o atípica.</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Cefalea precipitada por Valsalva, tos o ejercicio.</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Cefalea posicional.</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Comorbilidades: cáncer, inmunosupresión, anticoagulación.</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Embarazo o puerperio.</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Cefalea postraumática.</w:t>
      </w:r>
    </w:p>
    <w:p w:rsidR="00000000" w:rsidDel="00000000" w:rsidP="00000000" w:rsidRDefault="00000000" w:rsidRPr="00000000" w14:paraId="0000007D">
      <w:pPr>
        <w:pStyle w:val="Heading1"/>
        <w:rPr/>
      </w:pPr>
      <w:r w:rsidDel="00000000" w:rsidR="00000000" w:rsidRPr="00000000">
        <w:rPr>
          <w:rtl w:val="0"/>
        </w:rPr>
        <w:t xml:space="preserve">10. Criterios de Inclusión / Exclusión en Telesalud</w:t>
      </w:r>
    </w:p>
    <w:p w:rsidR="00000000" w:rsidDel="00000000" w:rsidP="00000000" w:rsidRDefault="00000000" w:rsidRPr="00000000" w14:paraId="0000007E">
      <w:pPr>
        <w:pStyle w:val="Heading3"/>
        <w:rPr/>
      </w:pPr>
      <w:r w:rsidDel="00000000" w:rsidR="00000000" w:rsidRPr="00000000">
        <w:rPr>
          <w:rtl w:val="0"/>
        </w:rPr>
        <w:t xml:space="preserve">Criterios de Inclusión</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Paciente adulto con cefalea atendido en un centro remisor de la red.</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Disponibilidad de la caracterización clínica del dolor, los factores de riesgo y el examen físico básico.</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Estabilidad clínica que permita la valoración remota y la espera del concepto experto.</w:t>
      </w:r>
    </w:p>
    <w:p w:rsidR="00000000" w:rsidDel="00000000" w:rsidP="00000000" w:rsidRDefault="00000000" w:rsidRPr="00000000" w14:paraId="00000082">
      <w:pPr>
        <w:pStyle w:val="Heading3"/>
        <w:rPr/>
      </w:pPr>
      <w:r w:rsidDel="00000000" w:rsidR="00000000" w:rsidRPr="00000000">
        <w:rPr>
          <w:rtl w:val="0"/>
        </w:rPr>
        <w:t xml:space="preserve">Criterios de Exclusión (Remisión Urgente Presencial)</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Cefalea en trueno o sospecha de hemorragia subaracnoidea.</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Fiebre con signos meníngeos o sospecha de infección del sistema nervioso central.</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Déficit neurológico focal, alteración de conciencia o papiledema con signos de alarma.</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Cualquier condición que requiera intervención presencial inmediata; en estos casos se activa la ruta de urgencias sin diferir la atención a la espera del concepto.</w:t>
      </w:r>
    </w:p>
    <w:p w:rsidR="00000000" w:rsidDel="00000000" w:rsidP="00000000" w:rsidRDefault="00000000" w:rsidRPr="00000000" w14:paraId="00000087">
      <w:pPr>
        <w:pStyle w:val="Heading1"/>
        <w:rPr/>
      </w:pPr>
      <w:r w:rsidDel="00000000" w:rsidR="00000000" w:rsidRPr="00000000">
        <w:rPr>
          <w:rtl w:val="0"/>
        </w:rPr>
        <w:t xml:space="preserve">11. Roles y Responsabilidades en Telesalud</w:t>
      </w:r>
    </w:p>
    <w:p w:rsidR="00000000" w:rsidDel="00000000" w:rsidP="00000000" w:rsidRDefault="00000000" w:rsidRPr="00000000" w14:paraId="00000088">
      <w:pPr>
        <w:pStyle w:val="Heading3"/>
        <w:rPr/>
      </w:pPr>
      <w:r w:rsidDel="00000000" w:rsidR="00000000" w:rsidRPr="00000000">
        <w:rPr>
          <w:rtl w:val="0"/>
        </w:rPr>
        <w:t xml:space="preserve">Profesional solicitante (Centro Remisor)</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Identifica la cefalea, valora las banderas rojas e inicia las medidas inmediatas cuando corresponde.</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Documenta la caracterización del dolor, los factores de riesgo, el examen físico básico y los antecedentes, y registra el consentimiento informado.</w:t>
      </w:r>
    </w:p>
    <w:p w:rsidR="00000000" w:rsidDel="00000000" w:rsidP="00000000" w:rsidRDefault="00000000" w:rsidRPr="00000000" w14:paraId="0000008B">
      <w:pPr>
        <w:pStyle w:val="Heading3"/>
        <w:rPr/>
      </w:pPr>
      <w:r w:rsidDel="00000000" w:rsidR="00000000" w:rsidRPr="00000000">
        <w:rPr>
          <w:rtl w:val="0"/>
        </w:rPr>
        <w:t xml:space="preserve">Profesional experto (Centro Referente)</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Evalúa la información, valora el </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SNNOOP10</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 y emite el concepto y el plan de manejo.</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Define la necesidad y modalidad de neuroimagen, la conducta de remisión o interconsulta y los criterios de seguimiento.</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Actores de soporte: personal administrativo y tecnológico que garantiza la operación de la plataforma, la trazabilidad y la seguridad de la información.</w:t>
      </w:r>
    </w:p>
    <w:p w:rsidR="00000000" w:rsidDel="00000000" w:rsidP="00000000" w:rsidRDefault="00000000" w:rsidRPr="00000000" w14:paraId="0000008F">
      <w:pPr>
        <w:pStyle w:val="Heading1"/>
        <w:rPr/>
      </w:pPr>
      <w:r w:rsidDel="00000000" w:rsidR="00000000" w:rsidRPr="00000000">
        <w:rPr>
          <w:rtl w:val="0"/>
        </w:rPr>
        <w:t xml:space="preserve">12. Tiempos de Respuesta Sugeridos</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Cefalea con bandera roja o signos de alarma: respuesta inmediata; ante criterios de urgencia se activa la ruta presencial sin esperar el concepto.</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Cefalea con características intermedias o factores de riesgo: respuesta dentro de las primeras 24 horas de recibida la solicitud.</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Cefalea sin banderas rojas o consulta de ajuste/seguimiento: respuesta dentro de las 72 horas.</w:t>
      </w:r>
    </w:p>
    <w:p w:rsidR="00000000" w:rsidDel="00000000" w:rsidP="00000000" w:rsidRDefault="00000000" w:rsidRPr="00000000" w14:paraId="00000093">
      <w:pPr>
        <w:pStyle w:val="Heading1"/>
        <w:rPr/>
      </w:pPr>
      <w:r w:rsidDel="00000000" w:rsidR="00000000" w:rsidRPr="00000000">
        <w:rPr>
          <w:rtl w:val="0"/>
        </w:rPr>
        <w:t xml:space="preserve">13. Estrategias de Humanización Digital y Diálogo Intercultural</w:t>
      </w:r>
    </w:p>
    <w:p w:rsidR="00000000" w:rsidDel="00000000" w:rsidP="00000000" w:rsidRDefault="00000000" w:rsidRPr="00000000" w14:paraId="00000094">
      <w:pPr>
        <w:jc w:val="both"/>
        <w:rPr/>
      </w:pPr>
      <w:r w:rsidDel="00000000" w:rsidR="00000000" w:rsidRPr="00000000">
        <w:rPr>
          <w:rtl w:val="0"/>
        </w:rPr>
        <w:t xml:space="preserve">La atención por tele salud debe preservar el trato digno, empático y centrado en la persona. Se recomienda una comunicación clara y en lenguaje sencillo, la verificación de la comprensión del paciente y de su familia, el respeto por las particularidades culturales y lingüísticas de las comunidades atendidas, y la garantía de la confidencialidad. El profesional remisor actúa como puente humano entre el paciente y el experto, asegurando que las recomendaciones se transmitan de forma comprensible y respetuosa.</w:t>
      </w:r>
    </w:p>
    <w:p w:rsidR="00000000" w:rsidDel="00000000" w:rsidP="00000000" w:rsidRDefault="00000000" w:rsidRPr="00000000" w14:paraId="00000095">
      <w:pPr>
        <w:pStyle w:val="Heading1"/>
        <w:rPr/>
      </w:pPr>
      <w:r w:rsidDel="00000000" w:rsidR="00000000" w:rsidRPr="00000000">
        <w:rPr>
          <w:rtl w:val="0"/>
        </w:rPr>
        <w:t xml:space="preserve">14. Indicadores de Calidad y Seguimiento</w:t>
      </w:r>
    </w:p>
    <w:p w:rsidR="00000000" w:rsidDel="00000000" w:rsidP="00000000" w:rsidRDefault="00000000" w:rsidRPr="00000000" w14:paraId="00000096">
      <w:pPr>
        <w:rPr/>
      </w:pPr>
      <w:r w:rsidDel="00000000" w:rsidR="00000000" w:rsidRPr="00000000">
        <w:rPr>
          <w:rtl w:val="0"/>
        </w:rPr>
      </w:r>
    </w:p>
    <w:tbl>
      <w:tblPr>
        <w:tblStyle w:val="Table3"/>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3"/>
        <w:gridCol w:w="2943"/>
        <w:gridCol w:w="2942"/>
        <w:tblGridChange w:id="0">
          <w:tblGrid>
            <w:gridCol w:w="2943"/>
            <w:gridCol w:w="2943"/>
            <w:gridCol w:w="2942"/>
          </w:tblGrid>
        </w:tblGridChange>
      </w:tblGrid>
      <w:tr>
        <w:trPr>
          <w:cantSplit w:val="0"/>
          <w:tblHeader w:val="0"/>
        </w:trPr>
        <w:tc>
          <w:tcPr/>
          <w:p w:rsidR="00000000" w:rsidDel="00000000" w:rsidP="00000000" w:rsidRDefault="00000000" w:rsidRPr="00000000" w14:paraId="00000097">
            <w:pPr>
              <w:rPr/>
            </w:pPr>
            <w:r w:rsidDel="00000000" w:rsidR="00000000" w:rsidRPr="00000000">
              <w:rPr>
                <w:b w:val="1"/>
                <w:bCs w:val="1"/>
                <w:rtl w:val="0"/>
              </w:rPr>
              <w:t xml:space="preserve">Indicador</w:t>
            </w:r>
            <w:r w:rsidDel="00000000" w:rsidR="00000000" w:rsidRPr="00000000">
              <w:rPr>
                <w:rtl w:val="0"/>
              </w:rPr>
            </w:r>
          </w:p>
        </w:tc>
        <w:tc>
          <w:tcPr/>
          <w:p w:rsidR="00000000" w:rsidDel="00000000" w:rsidP="00000000" w:rsidRDefault="00000000" w:rsidRPr="00000000" w14:paraId="00000098">
            <w:pPr>
              <w:rPr/>
            </w:pPr>
            <w:r w:rsidDel="00000000" w:rsidR="00000000" w:rsidRPr="00000000">
              <w:rPr>
                <w:b w:val="1"/>
                <w:bCs w:val="1"/>
                <w:rtl w:val="0"/>
              </w:rPr>
              <w:t xml:space="preserve">Definición</w:t>
            </w:r>
            <w:r w:rsidDel="00000000" w:rsidR="00000000" w:rsidRPr="00000000">
              <w:rPr>
                <w:rtl w:val="0"/>
              </w:rPr>
            </w:r>
          </w:p>
        </w:tc>
        <w:tc>
          <w:tcPr/>
          <w:p w:rsidR="00000000" w:rsidDel="00000000" w:rsidP="00000000" w:rsidRDefault="00000000" w:rsidRPr="00000000" w14:paraId="00000099">
            <w:pPr>
              <w:rPr/>
            </w:pPr>
            <w:r w:rsidDel="00000000" w:rsidR="00000000" w:rsidRPr="00000000">
              <w:rPr>
                <w:b w:val="1"/>
                <w:bCs w:val="1"/>
                <w:rtl w:val="0"/>
              </w:rPr>
              <w:t xml:space="preserve">Meta Sugerida</w:t>
            </w:r>
            <w:r w:rsidDel="00000000" w:rsidR="00000000" w:rsidRPr="00000000">
              <w:rPr>
                <w:rtl w:val="0"/>
              </w:rPr>
            </w:r>
          </w:p>
        </w:tc>
      </w:tr>
      <w:tr>
        <w:trPr>
          <w:cantSplit w:val="0"/>
          <w:tblHeader w:val="0"/>
        </w:trPr>
        <w:tc>
          <w:tcPr/>
          <w:p w:rsidR="00000000" w:rsidDel="00000000" w:rsidP="00000000" w:rsidRDefault="00000000" w:rsidRPr="00000000" w14:paraId="0000009A">
            <w:pPr>
              <w:rPr/>
            </w:pPr>
            <w:r w:rsidDel="00000000" w:rsidR="00000000" w:rsidRPr="00000000">
              <w:rPr>
                <w:rtl w:val="0"/>
              </w:rPr>
              <w:t xml:space="preserve">Oportunidad de respuesta</w:t>
            </w:r>
          </w:p>
        </w:tc>
        <w:tc>
          <w:tcPr/>
          <w:p w:rsidR="00000000" w:rsidDel="00000000" w:rsidP="00000000" w:rsidRDefault="00000000" w:rsidRPr="00000000" w14:paraId="0000009B">
            <w:pPr>
              <w:rPr/>
            </w:pPr>
            <w:r w:rsidDel="00000000" w:rsidR="00000000" w:rsidRPr="00000000">
              <w:rPr>
                <w:rtl w:val="0"/>
              </w:rPr>
              <w:t xml:space="preserve">% de solicitudes de </w:t>
            </w:r>
            <w:r w:rsidDel="00000000" w:rsidR="00000000" w:rsidRPr="00000000">
              <w:rPr>
                <w:rtl w:val="0"/>
              </w:rPr>
              <w:t xml:space="preserve">teleexperticia</w:t>
            </w:r>
            <w:r w:rsidDel="00000000" w:rsidR="00000000" w:rsidRPr="00000000">
              <w:rPr>
                <w:rtl w:val="0"/>
              </w:rPr>
              <w:t xml:space="preserve"> por cefalea respondidas dentro del tiempo sugerido según la gravedad.</w:t>
            </w:r>
          </w:p>
        </w:tc>
        <w:tc>
          <w:tcPr/>
          <w:p w:rsidR="00000000" w:rsidDel="00000000" w:rsidP="00000000" w:rsidRDefault="00000000" w:rsidRPr="00000000" w14:paraId="0000009C">
            <w:pPr>
              <w:rPr/>
            </w:pPr>
            <w:sdt>
              <w:sdtPr>
                <w:id w:val="198134044"/>
                <w:tag w:val="goog_rdk_0"/>
              </w:sdtPr>
              <w:sdtContent>
                <w:r w:rsidDel="00000000" w:rsidR="00000000" w:rsidRPr="00000000">
                  <w:rPr>
                    <w:rFonts w:ascii="Arial Unicode MS" w:cs="Arial Unicode MS" w:eastAsia="Arial Unicode MS" w:hAnsi="Arial Unicode MS"/>
                    <w:rtl w:val="0"/>
                  </w:rPr>
                  <w:t xml:space="preserve">≥ 90 %</w:t>
                </w:r>
              </w:sdtContent>
            </w:sdt>
          </w:p>
        </w:tc>
      </w:tr>
      <w:tr>
        <w:trPr>
          <w:cantSplit w:val="0"/>
          <w:tblHeader w:val="0"/>
        </w:trPr>
        <w:tc>
          <w:tcPr/>
          <w:p w:rsidR="00000000" w:rsidDel="00000000" w:rsidP="00000000" w:rsidRDefault="00000000" w:rsidRPr="00000000" w14:paraId="0000009D">
            <w:pPr>
              <w:rPr/>
            </w:pPr>
            <w:r w:rsidDel="00000000" w:rsidR="00000000" w:rsidRPr="00000000">
              <w:rPr>
                <w:rtl w:val="0"/>
              </w:rPr>
              <w:t xml:space="preserve">Completitud de información</w:t>
            </w:r>
          </w:p>
        </w:tc>
        <w:tc>
          <w:tcPr/>
          <w:p w:rsidR="00000000" w:rsidDel="00000000" w:rsidP="00000000" w:rsidRDefault="00000000" w:rsidRPr="00000000" w14:paraId="0000009E">
            <w:pPr>
              <w:rPr/>
            </w:pPr>
            <w:r w:rsidDel="00000000" w:rsidR="00000000" w:rsidRPr="00000000">
              <w:rPr>
                <w:rtl w:val="0"/>
              </w:rPr>
              <w:t xml:space="preserve">% de solicitudes que incluyen caracterización del dolor, factores de riesgo y examen físico básico definidos.</w:t>
            </w:r>
          </w:p>
        </w:tc>
        <w:tc>
          <w:tcPr/>
          <w:p w:rsidR="00000000" w:rsidDel="00000000" w:rsidP="00000000" w:rsidRDefault="00000000" w:rsidRPr="00000000" w14:paraId="0000009F">
            <w:pPr>
              <w:rPr/>
            </w:pPr>
            <w:sdt>
              <w:sdtPr>
                <w:id w:val="-474543303"/>
                <w:tag w:val="goog_rdk_1"/>
              </w:sdtPr>
              <w:sdtContent>
                <w:r w:rsidDel="00000000" w:rsidR="00000000" w:rsidRPr="00000000">
                  <w:rPr>
                    <w:rFonts w:ascii="Arial Unicode MS" w:cs="Arial Unicode MS" w:eastAsia="Arial Unicode MS" w:hAnsi="Arial Unicode MS"/>
                    <w:rtl w:val="0"/>
                  </w:rPr>
                  <w:t xml:space="preserve">≥ 90 %</w:t>
                </w:r>
              </w:sdtContent>
            </w:sdt>
          </w:p>
        </w:tc>
      </w:tr>
      <w:tr>
        <w:trPr>
          <w:cantSplit w:val="0"/>
          <w:tblHeader w:val="0"/>
        </w:trPr>
        <w:tc>
          <w:tcPr/>
          <w:p w:rsidR="00000000" w:rsidDel="00000000" w:rsidP="00000000" w:rsidRDefault="00000000" w:rsidRPr="00000000" w14:paraId="000000A0">
            <w:pPr>
              <w:rPr/>
            </w:pPr>
            <w:r w:rsidDel="00000000" w:rsidR="00000000" w:rsidRPr="00000000">
              <w:rPr>
                <w:rtl w:val="0"/>
              </w:rPr>
              <w:t xml:space="preserve">Valoración de banderas rojas</w:t>
            </w:r>
          </w:p>
        </w:tc>
        <w:tc>
          <w:tcPr/>
          <w:p w:rsidR="00000000" w:rsidDel="00000000" w:rsidP="00000000" w:rsidRDefault="00000000" w:rsidRPr="00000000" w14:paraId="000000A1">
            <w:pPr>
              <w:rPr/>
            </w:pPr>
            <w:r w:rsidDel="00000000" w:rsidR="00000000" w:rsidRPr="00000000">
              <w:rPr>
                <w:rtl w:val="0"/>
              </w:rPr>
              <w:t xml:space="preserve">% de casos con valoración documentada del </w:t>
            </w:r>
            <w:r w:rsidDel="00000000" w:rsidR="00000000" w:rsidRPr="00000000">
              <w:rPr>
                <w:rtl w:val="0"/>
              </w:rPr>
              <w:t xml:space="preserve">SNNOOP10</w:t>
            </w:r>
            <w:r w:rsidDel="00000000" w:rsidR="00000000" w:rsidRPr="00000000">
              <w:rPr>
                <w:rtl w:val="0"/>
              </w:rPr>
              <w:t xml:space="preserve">.</w:t>
            </w:r>
          </w:p>
        </w:tc>
        <w:tc>
          <w:tcPr/>
          <w:p w:rsidR="00000000" w:rsidDel="00000000" w:rsidP="00000000" w:rsidRDefault="00000000" w:rsidRPr="00000000" w14:paraId="000000A2">
            <w:pPr>
              <w:rPr/>
            </w:pPr>
            <w:sdt>
              <w:sdtPr>
                <w:id w:val="-1646113260"/>
                <w:tag w:val="goog_rdk_2"/>
              </w:sdtPr>
              <w:sdtContent>
                <w:r w:rsidDel="00000000" w:rsidR="00000000" w:rsidRPr="00000000">
                  <w:rPr>
                    <w:rFonts w:ascii="Arial Unicode MS" w:cs="Arial Unicode MS" w:eastAsia="Arial Unicode MS" w:hAnsi="Arial Unicode MS"/>
                    <w:rtl w:val="0"/>
                  </w:rPr>
                  <w:t xml:space="preserve">≥ 90 %</w:t>
                </w:r>
              </w:sdtContent>
            </w:sdt>
          </w:p>
        </w:tc>
      </w:tr>
      <w:tr>
        <w:trPr>
          <w:cantSplit w:val="0"/>
          <w:tblHeader w:val="0"/>
        </w:trPr>
        <w:tc>
          <w:tcPr/>
          <w:p w:rsidR="00000000" w:rsidDel="00000000" w:rsidP="00000000" w:rsidRDefault="00000000" w:rsidRPr="00000000" w14:paraId="000000A3">
            <w:pPr>
              <w:rPr/>
            </w:pPr>
            <w:r w:rsidDel="00000000" w:rsidR="00000000" w:rsidRPr="00000000">
              <w:rPr>
                <w:rtl w:val="0"/>
              </w:rPr>
              <w:t xml:space="preserve">Adecuación de la neuroimagen</w:t>
            </w:r>
          </w:p>
        </w:tc>
        <w:tc>
          <w:tcPr/>
          <w:p w:rsidR="00000000" w:rsidDel="00000000" w:rsidP="00000000" w:rsidRDefault="00000000" w:rsidRPr="00000000" w14:paraId="000000A4">
            <w:pPr>
              <w:rPr/>
            </w:pPr>
            <w:r w:rsidDel="00000000" w:rsidR="00000000" w:rsidRPr="00000000">
              <w:rPr>
                <w:rtl w:val="0"/>
              </w:rPr>
              <w:t xml:space="preserve">% de indicaciones de neuroimagen concordantes con la presencia de banderas rojas.</w:t>
            </w:r>
          </w:p>
        </w:tc>
        <w:tc>
          <w:tcPr/>
          <w:p w:rsidR="00000000" w:rsidDel="00000000" w:rsidP="00000000" w:rsidRDefault="00000000" w:rsidRPr="00000000" w14:paraId="000000A5">
            <w:pPr>
              <w:rPr/>
            </w:pPr>
            <w:sdt>
              <w:sdtPr>
                <w:id w:val="-1428404232"/>
                <w:tag w:val="goog_rdk_3"/>
              </w:sdtPr>
              <w:sdtContent>
                <w:r w:rsidDel="00000000" w:rsidR="00000000" w:rsidRPr="00000000">
                  <w:rPr>
                    <w:rFonts w:ascii="Arial Unicode MS" w:cs="Arial Unicode MS" w:eastAsia="Arial Unicode MS" w:hAnsi="Arial Unicode MS"/>
                    <w:rtl w:val="0"/>
                  </w:rPr>
                  <w:t xml:space="preserve">≥ 90 %</w:t>
                </w:r>
              </w:sdtContent>
            </w:sdt>
          </w:p>
        </w:tc>
      </w:tr>
      <w:tr>
        <w:trPr>
          <w:cantSplit w:val="0"/>
          <w:tblHeader w:val="0"/>
        </w:trPr>
        <w:tc>
          <w:tcPr/>
          <w:p w:rsidR="00000000" w:rsidDel="00000000" w:rsidP="00000000" w:rsidRDefault="00000000" w:rsidRPr="00000000" w14:paraId="000000A6">
            <w:pPr>
              <w:rPr/>
            </w:pPr>
            <w:r w:rsidDel="00000000" w:rsidR="00000000" w:rsidRPr="00000000">
              <w:rPr>
                <w:rtl w:val="0"/>
              </w:rPr>
              <w:t xml:space="preserve">Registro de consentimiento</w:t>
            </w:r>
          </w:p>
        </w:tc>
        <w:tc>
          <w:tcPr/>
          <w:p w:rsidR="00000000" w:rsidDel="00000000" w:rsidP="00000000" w:rsidRDefault="00000000" w:rsidRPr="00000000" w14:paraId="000000A7">
            <w:pPr>
              <w:rPr/>
            </w:pPr>
            <w:r w:rsidDel="00000000" w:rsidR="00000000" w:rsidRPr="00000000">
              <w:rPr>
                <w:rtl w:val="0"/>
              </w:rPr>
              <w:t xml:space="preserve">% de atenciones por telesalud con consentimiento informado registrado en la historia clínica.</w:t>
            </w:r>
          </w:p>
        </w:tc>
        <w:tc>
          <w:tcPr/>
          <w:p w:rsidR="00000000" w:rsidDel="00000000" w:rsidP="00000000" w:rsidRDefault="00000000" w:rsidRPr="00000000" w14:paraId="000000A8">
            <w:pPr>
              <w:rPr/>
            </w:pPr>
            <w:r w:rsidDel="00000000" w:rsidR="00000000" w:rsidRPr="00000000">
              <w:rPr>
                <w:rtl w:val="0"/>
              </w:rPr>
              <w:t xml:space="preserve">100 %</w:t>
            </w:r>
          </w:p>
        </w:tc>
      </w:tr>
      <w:tr>
        <w:trPr>
          <w:cantSplit w:val="0"/>
          <w:tblHeader w:val="0"/>
        </w:trPr>
        <w:tc>
          <w:tcPr/>
          <w:p w:rsidR="00000000" w:rsidDel="00000000" w:rsidP="00000000" w:rsidRDefault="00000000" w:rsidRPr="00000000" w14:paraId="000000A9">
            <w:pPr>
              <w:rPr/>
            </w:pPr>
            <w:r w:rsidDel="00000000" w:rsidR="00000000" w:rsidRPr="00000000">
              <w:rPr>
                <w:rtl w:val="0"/>
              </w:rPr>
              <w:t xml:space="preserve">Seguimiento programado</w:t>
            </w:r>
          </w:p>
        </w:tc>
        <w:tc>
          <w:tcPr/>
          <w:p w:rsidR="00000000" w:rsidDel="00000000" w:rsidP="00000000" w:rsidRDefault="00000000" w:rsidRPr="00000000" w14:paraId="000000AA">
            <w:pPr>
              <w:rPr/>
            </w:pPr>
            <w:r w:rsidDel="00000000" w:rsidR="00000000" w:rsidRPr="00000000">
              <w:rPr>
                <w:rtl w:val="0"/>
              </w:rPr>
              <w:t xml:space="preserve">% de pacientes con control programado documentado tras el concepto de </w:t>
            </w:r>
            <w:r w:rsidDel="00000000" w:rsidR="00000000" w:rsidRPr="00000000">
              <w:rPr>
                <w:rtl w:val="0"/>
              </w:rPr>
              <w:t xml:space="preserve">teleexperticia</w:t>
            </w:r>
            <w:r w:rsidDel="00000000" w:rsidR="00000000" w:rsidRPr="00000000">
              <w:rPr>
                <w:rtl w:val="0"/>
              </w:rPr>
              <w:t xml:space="preserve">.</w:t>
            </w:r>
          </w:p>
        </w:tc>
        <w:tc>
          <w:tcPr/>
          <w:p w:rsidR="00000000" w:rsidDel="00000000" w:rsidP="00000000" w:rsidRDefault="00000000" w:rsidRPr="00000000" w14:paraId="000000AB">
            <w:pPr>
              <w:rPr/>
            </w:pPr>
            <w:sdt>
              <w:sdtPr>
                <w:id w:val="-1760224304"/>
                <w:tag w:val="goog_rdk_4"/>
              </w:sdtPr>
              <w:sdtContent>
                <w:r w:rsidDel="00000000" w:rsidR="00000000" w:rsidRPr="00000000">
                  <w:rPr>
                    <w:rFonts w:ascii="Arial Unicode MS" w:cs="Arial Unicode MS" w:eastAsia="Arial Unicode MS" w:hAnsi="Arial Unicode MS"/>
                    <w:rtl w:val="0"/>
                  </w:rPr>
                  <w:t xml:space="preserve">≥ 90 %</w:t>
                </w:r>
              </w:sdtContent>
            </w:sdt>
          </w:p>
        </w:tc>
      </w:tr>
    </w:tbl>
    <w:p w:rsidR="00000000" w:rsidDel="00000000" w:rsidP="00000000" w:rsidRDefault="00000000" w:rsidRPr="00000000" w14:paraId="000000AC">
      <w:pPr>
        <w:pStyle w:val="Heading1"/>
        <w:rPr/>
      </w:pPr>
      <w:r w:rsidDel="00000000" w:rsidR="00000000" w:rsidRPr="00000000">
        <w:rPr>
          <w:rtl w:val="0"/>
        </w:rPr>
        <w:t xml:space="preserve">15. Bibliografía</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Headache Classification Committee of the International Headache Society (IHS). The International Classification of Headache Disorders, 3rd edition. Cephalalgia. 2018;38(1):1-211.</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Robbins MS. Diagnosis and Management of Headache: A Review. JAMA. 2021;325(18):1874-1885.</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Viera AJ, Antono B. Acute Headache in Adults: A Diagnostic Approach. Am Fam Physician. 2022;106(3):260-268.</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Colombia. Ministerio de Salud y Protección Social. Resolución 2654 de 2019. Bogotá: MinSalud; 2019.</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Colombia. Ministerio de Salud y Protección Social. Resolución 3100 de 2019. Bogotá: MinSalud; 2019.</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Colombia. Congreso de la República. Ley 1419 de 2010. Bogotá; 2010.</w:t>
      </w:r>
    </w:p>
    <w:p w:rsidR="00000000" w:rsidDel="00000000" w:rsidP="00000000" w:rsidRDefault="00000000" w:rsidRPr="00000000" w14:paraId="000000B3">
      <w:pPr>
        <w:pStyle w:val="Heading1"/>
        <w:rPr/>
      </w:pPr>
      <w:r w:rsidDel="00000000" w:rsidR="00000000" w:rsidRPr="00000000">
        <w:rPr>
          <w:rtl w:val="0"/>
        </w:rPr>
        <w:t xml:space="preserve">16. Responsable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b w:val="1"/>
          <w:bCs w:val="1"/>
          <w:rtl w:val="0"/>
        </w:rPr>
        <w:t xml:space="preserve">REALIZA: ALVARO BURGOS MEDICO INTERNISTA. </w:t>
      </w: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sectPr>
      <w:headerReference r:id="rId7" w:type="default"/>
      <w:footerReference r:id="rId8"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10309.0" w:type="dxa"/>
      <w:jc w:val="left"/>
      <w:tblInd w:w="-7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7"/>
      <w:gridCol w:w="2349"/>
      <w:gridCol w:w="3376"/>
      <w:gridCol w:w="2057"/>
      <w:tblGridChange w:id="0">
        <w:tblGrid>
          <w:gridCol w:w="2527"/>
          <w:gridCol w:w="2349"/>
          <w:gridCol w:w="3376"/>
          <w:gridCol w:w="2057"/>
        </w:tblGrid>
      </w:tblGridChange>
    </w:tblGrid>
    <w:tr>
      <w:trPr>
        <w:cantSplit w:val="0"/>
        <w:trHeight w:val="200" w:hRule="atLeast"/>
        <w:tblHeader w:val="0"/>
      </w:trPr>
      <w:tc>
        <w:tcPr>
          <w:vMerge w:val="restart"/>
          <w:vAlign w:val="cente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-12699</wp:posOffset>
                </wp:positionV>
                <wp:extent cx="1368425" cy="666750"/>
                <wp:effectExtent b="0" l="0" r="0" t="0"/>
                <wp:wrapNone/>
                <wp:docPr id="1" name="image1.png"/>
                <a:graphic>
                  <a:graphicData uri="http://schemas.openxmlformats.org/drawingml/2006/picture">
                    <pic:pic>
                      <pic:nvPicPr>
                        <pic:cNvPr id="0" name="image1.png"/>
                        <pic:cNvPicPr preferRelativeResize="0"/>
                      </pic:nvPicPr>
                      <pic:blipFill>
                        <a:blip r:embed="rId1"/>
                        <a:srcRect b="0" l="2579" r="4123" t="0"/>
                        <a:stretch>
                          <a:fillRect/>
                        </a:stretch>
                      </pic:blipFill>
                      <pic:spPr>
                        <a:xfrm>
                          <a:off x="0" y="0"/>
                          <a:ext cx="1368425" cy="666750"/>
                        </a:xfrm>
                        <a:prstGeom prst="rect"/>
                        <a:ln/>
                      </pic:spPr>
                    </pic:pic>
                  </a:graphicData>
                </a:graphic>
              </wp:anchor>
            </w:drawing>
          </w:r>
        </w:p>
      </w:tc>
      <w:tc>
        <w:tcPr>
          <w:gridSpan w:val="3"/>
          <w:vAlign w:val="center"/>
        </w:tcPr>
        <w:p w:rsidR="00000000" w:rsidDel="00000000" w:rsidP="00000000" w:rsidRDefault="00000000" w:rsidRPr="00000000" w14:paraId="000000B9">
          <w:pPr>
            <w:jc w:val="center"/>
            <w:rPr>
              <w:sz w:val="28"/>
              <w:szCs w:val="28"/>
            </w:rPr>
          </w:pPr>
          <w:r w:rsidDel="00000000" w:rsidR="00000000" w:rsidRPr="00000000">
            <w:rPr>
              <w:b w:val="1"/>
              <w:bCs w:val="1"/>
              <w:sz w:val="28"/>
              <w:szCs w:val="28"/>
              <w:rtl w:val="0"/>
            </w:rPr>
            <w:t xml:space="preserve">PROTOCOLO DE TELE-EXPERTICIA PARA EL MANEJO DE LA CEFALEA</w:t>
          </w:r>
          <w:r w:rsidDel="00000000" w:rsidR="00000000" w:rsidRPr="00000000">
            <w:rPr>
              <w:rtl w:val="0"/>
            </w:rPr>
          </w:r>
        </w:p>
      </w:tc>
    </w:tr>
    <w:tr>
      <w:trPr>
        <w:cantSplit w:val="0"/>
        <w:trHeight w:val="278" w:hRule="atLeast"/>
        <w:tblHeader w:val="0"/>
      </w:trPr>
      <w:tc>
        <w:tcPr>
          <w:vMerge w:val="continue"/>
          <w:vAlign w:val="cente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tc>
      <w:tc>
        <w:tcPr>
          <w:gridSpan w:val="3"/>
          <w:vAlign w:val="center"/>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Protocolo </w:t>
          </w:r>
        </w:p>
      </w:tc>
    </w:tr>
    <w:tr>
      <w:trPr>
        <w:cantSplit w:val="0"/>
        <w:trHeight w:val="304" w:hRule="atLeast"/>
        <w:tblHeader w:val="0"/>
      </w:trPr>
      <w:tc>
        <w:tcPr>
          <w:vMerge w:val="continue"/>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Código: IN-FR-87</w:t>
          </w:r>
        </w:p>
      </w:tc>
      <w:tc>
        <w:tcP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Vigente desde: 2025-06-25</w:t>
          </w:r>
        </w:p>
      </w:tc>
      <w:tc>
        <w:tcP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Versión: 001</w:t>
          </w:r>
        </w:p>
      </w:tc>
    </w:tr>
  </w:tbl>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bCs w:val="1"/>
      <w:color w:val="000000"/>
      <w:sz w:val="32"/>
      <w:szCs w:val="32"/>
    </w:rPr>
  </w:style>
  <w:style w:type="paragraph" w:styleId="Heading2">
    <w:name w:val="heading 2"/>
    <w:basedOn w:val="Normal"/>
    <w:next w:val="Normal"/>
    <w:pPr>
      <w:keepNext w:val="1"/>
      <w:keepLines w:val="1"/>
      <w:spacing w:after="0" w:before="40" w:lineRule="auto"/>
    </w:pPr>
    <w:rPr>
      <w:b w:val="1"/>
      <w:bCs w:val="1"/>
      <w:color w:val="000000"/>
      <w:sz w:val="28"/>
      <w:szCs w:val="28"/>
    </w:rPr>
  </w:style>
  <w:style w:type="paragraph" w:styleId="Heading3">
    <w:name w:val="heading 3"/>
    <w:basedOn w:val="Normal"/>
    <w:next w:val="Normal"/>
    <w:pPr>
      <w:keepNext w:val="1"/>
      <w:keepLines w:val="1"/>
      <w:spacing w:after="0" w:before="40" w:lineRule="auto"/>
    </w:pPr>
    <w:rPr>
      <w:b w:val="1"/>
      <w:bCs w:val="1"/>
      <w:color w:val="000000"/>
    </w:rPr>
  </w:style>
  <w:style w:type="paragraph" w:styleId="Heading4">
    <w:name w:val="heading 4"/>
    <w:basedOn w:val="Normal"/>
    <w:next w:val="Normal"/>
    <w:pPr>
      <w:keepNext w:val="1"/>
      <w:keepLines w:val="1"/>
      <w:spacing w:after="0" w:before="40" w:lineRule="auto"/>
    </w:pPr>
    <w:rPr>
      <w:i w:val="1"/>
      <w:iCs w:val="1"/>
    </w:rPr>
  </w:style>
  <w:style w:type="paragraph" w:styleId="Heading5">
    <w:name w:val="heading 5"/>
    <w:basedOn w:val="Normal"/>
    <w:next w:val="Normal"/>
    <w:pPr>
      <w:keepNext w:val="1"/>
      <w:keepLines w:val="1"/>
      <w:spacing w:after="0" w:before="40" w:lineRule="auto"/>
    </w:pPr>
    <w:rPr>
      <w:color w:val="404040"/>
    </w:rPr>
  </w:style>
  <w:style w:type="paragraph" w:styleId="Heading6">
    <w:name w:val="heading 6"/>
    <w:basedOn w:val="Normal"/>
    <w:next w:val="Normal"/>
    <w:pPr>
      <w:keepNext w:val="1"/>
      <w:keepLines w:val="1"/>
      <w:spacing w:after="0" w:before="40" w:lineRule="auto"/>
    </w:pPr>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rPr>
      <w:color w:val="5a5a5a"/>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XnlKRLocvfE4jyVDfOhucNpb1Q==">CgMxLjAaHQoBMBIYChYIB0ISEhBBcmlhbCBVbmljb2RlIE1TGh0KATESGAoWCAdCEhIQQXJpYWwgVW5pY29kZSBNUxodCgEyEhgKFggHQhISEEFyaWFsIFVuaWNvZGUgTVMaHQoBMxIYChYIB0ISEhBBcmlhbCBVbmljb2RlIE1TGh0KATQSGAoWCAdCEhIQQXJpYWwgVW5pY29kZSBNUzgAciExN3pCWUUtNEdjbUpPTW9Pc2I1aFNjVkhHUTZTWWF4VF8=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id="xYArfBOb"/&gt;&lt;style id="http://www.zotero.org/styles/vancouver" locale="es-MX" hasBibliography="1" bibliographyStyleHasBeenSet="1"/&gt;&lt;prefs&gt;&lt;pref name="fieldType" value="Field"/&gt;&lt;pref name="automati</vt:lpwstr>
  </property>
  <property fmtid="{D5CDD505-2E9C-101B-9397-08002B2CF9AE}" pid="3" name="ZOTERO_PREF_2">
    <vt:lpwstr>cJournalAbbreviations" value="true"/&gt;&lt;/prefs&gt;&lt;/data&gt;</vt:lpwstr>
  </property>
  <property fmtid="{D5CDD505-2E9C-101B-9397-08002B2CF9AE}" pid="4" name="GrammarlyDocumentId">
    <vt:lpwstr>c00df39e-61df-4ebb-9111-23f482179a3c</vt:lpwstr>
  </property>
</Properties>
</file>