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b w:val="1"/>
          <w:bCs w:val="1"/>
          <w:color w:val="000000"/>
          <w:sz w:val="24"/>
          <w:szCs w:val="24"/>
        </w:rPr>
      </w:pPr>
      <w:bookmarkStart w:colFirst="0" w:colLast="0" w:name="_heading=h.bs97san82efs" w:id="0"/>
      <w:bookmarkEnd w:id="0"/>
      <w:r w:rsidDel="00000000" w:rsidR="00000000" w:rsidRPr="00000000">
        <w:rPr>
          <w:rFonts w:ascii="Arial" w:cs="Arial" w:eastAsia="Arial" w:hAnsi="Arial"/>
          <w:b w:val="1"/>
          <w:bCs w:val="1"/>
          <w:color w:val="000000"/>
          <w:sz w:val="24"/>
          <w:szCs w:val="24"/>
          <w:rtl w:val="0"/>
        </w:rPr>
        <w:t xml:space="preserve">1. Introducción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Interrupción Voluntaria del Embarazo (IVE) constituye un derecho reconocido en Colombia a partir de la Sentencia C-355 de 2006 de la Corte Constitucional, que despenalizó el aborto en tres causales: peligro para la vida o la salud de la gestante, malformación incompatible con la vida extrauterina, y embarazo producto de acceso carnal violento o incesto. Posteriormente, la Sentencia C-055 de 2022 amplió este derecho de forma sustancial al despenalizar la IVE hasta la semana 24 de gestación sin necesidad de invocar causal alguna, y sin límite de tiempo cuando se configure alguna de las tres causales originales. Esta transformación normativa convierte a Colombia en uno de los países con mayor liberalización del acceso al aborto seguro en América Latina.</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pesar de este marco normativo progresista, el acceso efectivo a la IVE continúa siendo profundamente inequitativo en el territorio nacional. Las principales barreras identificadas incluyen: la objeción de conciencia institucional no regulada, la demora deliberada en la atención por parte de prestadores que imponen trámites administrativos no exigidos por la ley, la falta de profesionales capacitados en el nivel primario de atención para la provisión de IVE con medicamentos, y la concentración geográfica de los servicios en ciudades principales. Estas barreras tienen un impacto desproporcionado sobre las mujeres en regiones alejadas, las adolescentes, las mujeres en situación de desplazamiento y las mujeres de bajos ingresos, perpetuando la inequidad en el acceso a un derecho reconocido constitucionalmente.</w: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telemedicina y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representan una herramienta transformadora para superar estas barreras. La evidencia científica internacional —avalada por la OMS, la Federación Internacional de Ginecología y Obstetricia (FIGO) y el Colegio Americano de Obstetras y Ginecólogos (ACOG)— demuestra que la IVE médica con mifepristona y misoprostol es segura y eficaz cuando se realiza bajo protocolo, con información adecuada y seguimiento oportuno, incluso sin examen pélvico presencial previo y con atención virtual. Este modelo —conocido como telemedicina para la IVE o "no-test" IVE— ha sido implementado con resultados exitosos en el Reino Unido, Irlanda, Australia, Canadá y múltiples estados de Estados Unidos, y su seguridad está respaldada por la evidencia de más de dos décadas de investigación.</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protocolo estandariza la prestación del servicio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para la IVE en el marco institucional del Hospital Universitario Nacional de Colombia (HUN), garantizando la atención sin barreras, la información basada en evidencia, el respeto a la autonomía de la mujer y el cumplimiento de los más altos estándares de calidad clínica. Este documento no sustituye las Guías de Práctica Clínica nacionales e internacionales vigentes; su propósito es complementarlas y operacionalizarlas en el contexto específico 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institucional.</w:t>
      </w:r>
    </w:p>
    <w:p w:rsidR="00000000" w:rsidDel="00000000" w:rsidP="00000000" w:rsidRDefault="00000000" w:rsidRPr="00000000" w14:paraId="00000007">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 Objetivo General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Estandarizar la prestación del servicio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para la Interrupción Voluntaria del Embarazo, garantizando el acceso oportuno, seguro y sin barreras a la IVE médica y quirúrgica hasta la semana 24 de gestación, con orientación especializada remota, respeto a la autonomía de la mujer, y atención libre de estigma y de objetores de conciencia no regulados, en cumplimiento de la Sentencia C-055 de 2022 de la Corte Constitucional.</w:t>
      </w:r>
    </w:p>
    <w:p w:rsidR="00000000" w:rsidDel="00000000" w:rsidP="00000000" w:rsidRDefault="00000000" w:rsidRPr="00000000" w14:paraId="0000000A">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 Objetivos Específicos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el acceso efectivo a la IVE sin dilaciones ni requisitos no contemplados en la ley: </w:t>
      </w:r>
      <w:r w:rsidDel="00000000" w:rsidR="00000000" w:rsidRPr="00000000">
        <w:rPr>
          <w:rFonts w:ascii="Arial" w:cs="Arial" w:eastAsia="Arial" w:hAnsi="Arial"/>
          <w:sz w:val="24"/>
          <w:szCs w:val="24"/>
          <w:rtl w:val="0"/>
        </w:rPr>
        <w:t xml:space="preserve">elimina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mediante el protocolo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las barreras administrativas indebidas (juntas médicas no requeridas, autorizaciones de EPS innecesarias, solicitud de documentos no exigidos) que constituyen violaciones al derecho a la salud reconocido por la Corte Constitucional.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Estandarizar la evaluación remota de la elegibilidad para IVE médica: definir el protocolo de anamnesis virtual, la solicitud de ecografía para confirmación de localización y edad gestacional, y los criterios de seguridad para la administración de mifepristona y misoprostol en el domicilio bajo supervisión telemática.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Protocolizar la orientación en tiempo real para la IVE médica domiciliaria: establecer el proceso de información, entrega de medicamentos, acompañamiento durante el proceso y seguimiento post-procedimiento mediante </w:t>
      </w:r>
      <w:r w:rsidDel="00000000" w:rsidR="00000000" w:rsidRPr="00000000">
        <w:rPr>
          <w:rFonts w:ascii="Arial" w:cs="Arial" w:eastAsia="Arial" w:hAnsi="Arial"/>
          <w:sz w:val="24"/>
          <w:szCs w:val="24"/>
          <w:rtl w:val="0"/>
        </w:rPr>
        <w:t xml:space="preserve">teleconsulta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Coordinar la remisión oportuna para IVE quirúrgica: definir los criterios de derivación a procedimientos como la aspiración manual endouterina (AMEU) o la dilatación y evacuación (D&amp;E) para gestaciones avanzadas o en casos con contraindicación de IVE médica.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la anticoncepción post-IVE como estándar de calidad de la atención: asegurar que toda mujer que accede a la IVE por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recibe consejería anticonceptiva completa y tiene disponible un método al momento del alta.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Manejar el bienestar emocional integral: incorporar el acompañamiento emocional como componente inseparable del protocolo, con detección de angustia severa, criterios de derivación a salud mental y referenciación a redes de apoyo cuando la mujer lo solicite.</w:t>
      </w:r>
    </w:p>
    <w:p w:rsidR="00000000" w:rsidDel="00000000" w:rsidP="00000000" w:rsidRDefault="00000000" w:rsidRPr="00000000" w14:paraId="00000012">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 Alcance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Población objeto: aplica a toda mujer que solicite la IVE en Colombia en el marco de la legalidad establecida por la Sentencia C-055 de 2022 (hasta semana 24 de gestación) y la Sentencia C-355 de 2006 (sin límite gestacional en las tres causales); con énfasis en mujeres en zonas de difícil acceso geográfico, adolescentes, mujeres en situación de desplazamiento, mujeres sobrevivientes de violencia sexual y mujeres cuya EPS o IPS local presenta objeción de conciencia institucional indebida.</w:t>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clínico-asistencial: comprende la teleconsulta para la evaluación de elegibilidad para IVE médica (hasta semana 12 0/7 con mifepristona y misoprostol; hasta semana 14 6/7 con misoprostol solo en régimen adaptado);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para la orientación del procedimiento médico domiciliario; el seguimiento post-IVE para confirmar la completitud del proceso; la anticoncepción post-IVE; y la coordinación de la IVE quirúrgica (AMEU, D&amp;E) para gestaciones entre semana 15 y 24 que requieren procedimiento presencial especializado.</w:t>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tecnológico: se prioriza la teleconsulta por video para la evaluación clínica inicial y el seguimiento. Se acepta la teleconsulta por audio para el acompañamiento durante el proceso médico domiciliario. El envío de la ecografía puede realizarse por imagen digital (foto de pantalla o archivo DICOM) a través de canales seguros de comunicación institucional.</w:t>
      </w:r>
    </w:p>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Exclusiones: la IVE quirúrgica (AMEU para </w:t>
      </w:r>
      <w:r w:rsidDel="00000000" w:rsidR="00000000" w:rsidRPr="00000000">
        <w:rPr>
          <w:rFonts w:ascii="Arial" w:cs="Arial" w:eastAsia="Arial" w:hAnsi="Arial"/>
          <w:sz w:val="24"/>
          <w:szCs w:val="24"/>
          <w:rtl w:val="0"/>
        </w:rPr>
        <w:t xml:space="preserve">gestaciones &gt; 14</w:t>
      </w:r>
      <w:r w:rsidDel="00000000" w:rsidR="00000000" w:rsidRPr="00000000">
        <w:rPr>
          <w:rFonts w:ascii="Arial" w:cs="Arial" w:eastAsia="Arial" w:hAnsi="Arial"/>
          <w:sz w:val="24"/>
          <w:szCs w:val="24"/>
          <w:rtl w:val="0"/>
        </w:rPr>
        <w:t xml:space="preserve"> semanas y D&amp;E para semanas 15-24) requiere presencia física en una institución habilitada.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puede orientar la preparación cervical previa y el proceso de referencia, pero no el procedimiento en sí. Ante sospecha de embarazo ectópico, la paciente debe ser evaluada de forma presencial de urgencia antes de administrar cualquier esquema de IVE médica.</w:t>
      </w:r>
    </w:p>
    <w:p w:rsidR="00000000" w:rsidDel="00000000" w:rsidP="00000000" w:rsidRDefault="00000000" w:rsidRPr="00000000" w14:paraId="00000018">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 Marco Normativo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telesalud y telemedicina en Colombia: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2654 de 2019 (Ministerio de Salud y Protección Social): regula la telesalud y la telemedicina en Colombia, estableciendo las disposiciones para su práctica, parámetros operativos y responsabilidades institucionales.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3100 de 2019 (Ministerio de Salud y Protección Social): define los procedimientos y condiciones de inscripción de los Prestadores de Servicios de Salud y de habilitación de los servicios en el país.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1419 de 2010: establece los lineamientos y principios para el desarrollo de la Telesalud en Colombia.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1581 de 2012: dicta las disposiciones generales para la protección de datos personales (Habeas Data) y el tratamiento de información sensible en salud.</w:t>
      </w:r>
    </w:p>
    <w:p w:rsidR="00000000" w:rsidDel="00000000" w:rsidP="00000000" w:rsidRDefault="00000000" w:rsidRPr="00000000" w14:paraId="00000021">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Marco constitucional, jurisprudencial y de derechos: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Sentencia C-355 de 2006 (Corte Constitucional de Colombia): despenalización del aborto en tres causales: riesgo para la vida o la salud de la gestante, malformación incompatible con la vida extrauterina, y embarazo producto de acceso carnal violento o incesto. Establece que las IPS que tengan objetores de conciencia individuales deben garantizar la remisión a prestadores no objetores sin dilaciones.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Sentencia C-055 de 2022 (Corte Constitucional de Colombia): despenalización de la IVE hasta la semana 24 de gestación sin causal. Elimina la penalización del aborto para la mujer y para los profesionales de salud que lo realizan dentro del marco legal. Prohíbe expresamente la objeción de conciencia institucional.</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Sentencia T-388 de 2009 y Sentencia T-841 de 2011 (Corte Constitucional de Colombia): reiteran la obligatoriedad de la atención de la IVE sin dilaciones, eliminación de trámites administrativos indebidos y responsabilidad del Estado ante las barreras de acceso.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051 de 2023 (Ministerio de Salud y Protección Social): reglamenta los servicios de IVE y establece los lineamientos para la atención sin barreras, incluyendo la habilitación de servicios de IVE por telemedicina.</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Organización Mundial de la Salud. Directrices sobre el aborto: atención del aborto: directrices de la OMS (2022 — Abortion Care Guideline): consolida la evidencia global sobre la seguridad y eficacia de la IVE médica con tele orientación, y recomienda la eliminación de los requisitos de examen pélvico presencial previo cuando no hay factores de riesgo identificados.</w:t>
      </w:r>
    </w:p>
    <w:p w:rsidR="00000000" w:rsidDel="00000000" w:rsidP="00000000" w:rsidRDefault="00000000" w:rsidRPr="00000000" w14:paraId="00000027">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6. Definiciones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Telesalud:</w:t>
      </w:r>
      <w:r w:rsidDel="00000000" w:rsidR="00000000" w:rsidRPr="00000000">
        <w:rPr>
          <w:rFonts w:ascii="Arial" w:cs="Arial" w:eastAsia="Arial" w:hAnsi="Arial"/>
          <w:sz w:val="24"/>
          <w:szCs w:val="24"/>
          <w:rtl w:val="0"/>
        </w:rPr>
        <w:t xml:space="preserve"> conjunto de actividades relacionadas con la salud, servicios y métodos que se llevan a cabo a distancia con la ayuda de las tecnologías de la información y telecomunicaciones.</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Teleexperticia</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relación a distancia con método de comunicación sincrónico o asincrónico para la provisión de servicios de salud, utilizando tecnologías de información y comunicación entre dos profesionales de la salud, o entre un profesional de la salud y la usuaria, para la orientación diagnóstica y terapéutica.</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Interrupción Voluntaria del Embarazo (IVE):</w:t>
      </w:r>
      <w:r w:rsidDel="00000000" w:rsidR="00000000" w:rsidRPr="00000000">
        <w:rPr>
          <w:rFonts w:ascii="Arial" w:cs="Arial" w:eastAsia="Arial" w:hAnsi="Arial"/>
          <w:sz w:val="24"/>
          <w:szCs w:val="24"/>
          <w:rtl w:val="0"/>
        </w:rPr>
        <w:t xml:space="preserve"> procedimiento médico o quirúrgico para finalizar un embarazo a solicitud de la mujer gestante, en el marco legal establecido por las sentencias de la Corte Constitucional colombiana. La denominación "voluntaria" es el estándar jurídico colombiano y enfatiza la autonomía de la mujer como eje central del proceso.</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IVE médica:</w:t>
      </w:r>
      <w:r w:rsidDel="00000000" w:rsidR="00000000" w:rsidRPr="00000000">
        <w:rPr>
          <w:rFonts w:ascii="Arial" w:cs="Arial" w:eastAsia="Arial" w:hAnsi="Arial"/>
          <w:sz w:val="24"/>
          <w:szCs w:val="24"/>
          <w:rtl w:val="0"/>
        </w:rPr>
        <w:t xml:space="preserve"> método de interrupción del embarazo mediante la administración de fármacos que inducen la expulsión del contenido uterino. El régimen de mayor eficacia y seguridad es la combinación de mifepristona 200 mg vía oral seguida de misoprostol 800 mcg (vaginal, sublingual o bucal) a las 24-48 horas. La eficacia combinada es del 95-98% hasta la semana 12. En contextos donde la mifepristona no está disponible, se utiliza el régimen de misoprostol solo (800 mcg cada 3 horas, hasta 3 dosis), con eficacia del 80-85%.</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Mifepristona:</w:t>
      </w:r>
      <w:r w:rsidDel="00000000" w:rsidR="00000000" w:rsidRPr="00000000">
        <w:rPr>
          <w:rFonts w:ascii="Arial" w:cs="Arial" w:eastAsia="Arial" w:hAnsi="Arial"/>
          <w:sz w:val="24"/>
          <w:szCs w:val="24"/>
          <w:rtl w:val="0"/>
        </w:rPr>
        <w:t xml:space="preserve"> antiprogesterona que bloquea los receptores de progesterona uterina, sensibiliza el miometrio a las prostaglandinas y prepara el cuello uterino. Administrada 24-48 horas antes del misoprostol, es el componente que determina la alta eficacia del régimen combinado. En Colombia su disponibilidad institucional es variable;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debe verificar su disponibilidad en la red del prestador.</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Misoprostol:</w:t>
      </w:r>
      <w:r w:rsidDel="00000000" w:rsidR="00000000" w:rsidRPr="00000000">
        <w:rPr>
          <w:rFonts w:ascii="Arial" w:cs="Arial" w:eastAsia="Arial" w:hAnsi="Arial"/>
          <w:sz w:val="24"/>
          <w:szCs w:val="24"/>
          <w:rtl w:val="0"/>
        </w:rPr>
        <w:t xml:space="preserve"> análogo sintético de la prostaglandina E1 que induce contracciones uterinas y dilatación cervical. Componente universal del régimen de IVE médica, disponible en la mayoría de las redes de farmacia. La vía sublingual o bucal se prefiere para la IVE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domiciliaria por su predictibilidad de absorción.</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Aspiración Manual Endouterina (AMEU):</w:t>
      </w:r>
      <w:r w:rsidDel="00000000" w:rsidR="00000000" w:rsidRPr="00000000">
        <w:rPr>
          <w:rFonts w:ascii="Arial" w:cs="Arial" w:eastAsia="Arial" w:hAnsi="Arial"/>
          <w:sz w:val="24"/>
          <w:szCs w:val="24"/>
          <w:rtl w:val="0"/>
        </w:rPr>
        <w:t xml:space="preserve"> procedimiento quirúrgico ambulatorio para la evacuación del contenido uterino mediante vacío manual o eléctrico, utilizado hasta la semana 14 6/7 de gestación. Es el procedimiento quirúrgico de elección en Colombia para la IVE en el primer trimestre cuando existe indicación quirúrgica o fracaso del tratamiento médico.</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Dilatación y Evacuación (D&amp;E):</w:t>
      </w:r>
      <w:r w:rsidDel="00000000" w:rsidR="00000000" w:rsidRPr="00000000">
        <w:rPr>
          <w:rFonts w:ascii="Arial" w:cs="Arial" w:eastAsia="Arial" w:hAnsi="Arial"/>
          <w:sz w:val="24"/>
          <w:szCs w:val="24"/>
          <w:rtl w:val="0"/>
        </w:rPr>
        <w:t xml:space="preserve"> procedimiento quirúrgico para la IVE en el segundo trimestre (semanas 15-24), que combina la dilatación cervical (habitualmente con misoprostol o dilatadores osmóticos previos) con la evacuación instrumental del contenido uterino. Requiere profesional con entrenamiento específico e institución habilitada.</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IVE completa:</w:t>
      </w:r>
      <w:r w:rsidDel="00000000" w:rsidR="00000000" w:rsidRPr="00000000">
        <w:rPr>
          <w:rFonts w:ascii="Arial" w:cs="Arial" w:eastAsia="Arial" w:hAnsi="Arial"/>
          <w:sz w:val="24"/>
          <w:szCs w:val="24"/>
          <w:rtl w:val="0"/>
        </w:rPr>
        <w:t xml:space="preserve"> expulsión total del contenido uterino confirmada por ecografía (endometrio &lt; 15 mm, ausencia de saco gestacional o restos ovulares) o por síntomas clínicos consistentes (sangrado activo seguido de disminución progresiva, expulsión de tejido identificable).</w:t>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IVE incompleta:</w:t>
      </w:r>
      <w:r w:rsidDel="00000000" w:rsidR="00000000" w:rsidRPr="00000000">
        <w:rPr>
          <w:rFonts w:ascii="Arial" w:cs="Arial" w:eastAsia="Arial" w:hAnsi="Arial"/>
          <w:sz w:val="24"/>
          <w:szCs w:val="24"/>
          <w:rtl w:val="0"/>
        </w:rPr>
        <w:t xml:space="preserve"> retención parcial del contenido uterino tras el procedimiento médico, que puede resolverse con una dosis adicional de misoprostol o que requiere AMEU de completamiento según el volumen de restos y la condición clínica de la paciente.</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Objeción de conciencia:</w:t>
      </w:r>
      <w:r w:rsidDel="00000000" w:rsidR="00000000" w:rsidRPr="00000000">
        <w:rPr>
          <w:rFonts w:ascii="Arial" w:cs="Arial" w:eastAsia="Arial" w:hAnsi="Arial"/>
          <w:sz w:val="24"/>
          <w:szCs w:val="24"/>
          <w:rtl w:val="0"/>
        </w:rPr>
        <w:t xml:space="preserve"> derecho individual del profesional de salud a no participar directamente en la realización de la IVE por razones morales o religiosas. Según la jurisprudencia colombiana, la objeción de conciencia es estrictamente individual (no institucional), no puede ser invocada en situaciones de riesgo inminente para la vida de la paciente, y obliga al objetor a remitir a la paciente a un profesional no objetor sin demora.</w:t>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Barreras de acceso indebidas (ilegales):</w:t>
      </w:r>
      <w:r w:rsidDel="00000000" w:rsidR="00000000" w:rsidRPr="00000000">
        <w:rPr>
          <w:rFonts w:ascii="Arial" w:cs="Arial" w:eastAsia="Arial" w:hAnsi="Arial"/>
          <w:sz w:val="24"/>
          <w:szCs w:val="24"/>
          <w:rtl w:val="0"/>
        </w:rPr>
        <w:t xml:space="preserve"> trámites, requisitos o dilaciones que los prestadores imponen sin fundamento legal para obstaculizar el acceso a la IVE. Incluyen: solicitud de autorización de la EPS para IVE, junta médica no indicada clínicamente, exigencia de acompañante adulto para mujeres autónomas, solicitud de documentos probatorios en causales de violencia sexual distintos a la denuncia o la declaración de la propia víctima, y tiempos de espera mayores a 5 días hábiles para procedimientos electivos.</w:t>
      </w:r>
    </w:p>
    <w:p w:rsidR="00000000" w:rsidDel="00000000" w:rsidP="00000000" w:rsidRDefault="00000000" w:rsidRPr="00000000" w14:paraId="00000035">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 Flujo Operativo y Clínico en Telesalud</w:t>
      </w:r>
    </w:p>
    <w:p w:rsidR="00000000" w:rsidDel="00000000" w:rsidP="00000000" w:rsidRDefault="00000000" w:rsidRPr="00000000" w14:paraId="00000036">
      <w:pPr>
        <w:rPr/>
      </w:pP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3150"/>
        <w:gridCol w:w="1545"/>
        <w:gridCol w:w="2790"/>
        <w:tblGridChange w:id="0">
          <w:tblGrid>
            <w:gridCol w:w="1815"/>
            <w:gridCol w:w="3150"/>
            <w:gridCol w:w="1545"/>
            <w:gridCol w:w="2790"/>
          </w:tblGrid>
        </w:tblGridChange>
      </w:tblGrid>
      <w:tr>
        <w:trPr>
          <w:cantSplit w:val="0"/>
          <w:tblHeader w:val="0"/>
        </w:trPr>
        <w:tc>
          <w:tcPr/>
          <w:p w:rsidR="00000000" w:rsidDel="00000000" w:rsidP="00000000" w:rsidRDefault="00000000" w:rsidRPr="00000000" w14:paraId="0000003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Etapa</w:t>
            </w:r>
            <w:r w:rsidDel="00000000" w:rsidR="00000000" w:rsidRPr="00000000">
              <w:rPr>
                <w:rtl w:val="0"/>
              </w:rPr>
            </w:r>
          </w:p>
        </w:tc>
        <w:tc>
          <w:tcPr/>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w:t>
            </w:r>
            <w:r w:rsidDel="00000000" w:rsidR="00000000" w:rsidRPr="00000000">
              <w:rPr>
                <w:rtl w:val="0"/>
              </w:rPr>
            </w:r>
          </w:p>
        </w:tc>
        <w:tc>
          <w:tcPr/>
          <w:p w:rsidR="00000000" w:rsidDel="00000000" w:rsidP="00000000" w:rsidRDefault="00000000" w:rsidRPr="00000000" w14:paraId="0000003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Responsable</w:t>
            </w:r>
            <w:r w:rsidDel="00000000" w:rsidR="00000000" w:rsidRPr="00000000">
              <w:rPr>
                <w:rtl w:val="0"/>
              </w:rPr>
            </w:r>
          </w:p>
        </w:tc>
        <w:tc>
          <w:tcPr/>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sz w:val="24"/>
                <w:szCs w:val="24"/>
                <w:rtl w:val="0"/>
              </w:rPr>
              <w:t xml:space="preserve">1. Identificación y medidas inmediatas</w:t>
            </w:r>
          </w:p>
        </w:tc>
        <w:tc>
          <w:tcPr/>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Recibir la solicitud de IVE. Verificar la edad gestacional con la fecha de última menstruación (FUM) y, si está disponible, la ecografía más reciente. Clasificar la vía de atención según la edad gestacional: IVE médica domiciliaria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(hasta semana 12 0/7 con régimen combinado; hasta semana 14 6/7 con misoprostol solo en protocolo adaptado); o coordinación de IVE quirúrgica presencial (semanas 15-24). Ante sospecha clínica de embarazo ectópico (dolor pélvico unilateral, sangrado con fecha de última menstruación incierta), solicitar evaluación presencial urgente antes de continuar el flujo de IVE médica. No imponer requisitos adicionales a los establecidos en la normativa.</w:t>
            </w:r>
          </w:p>
        </w:tc>
        <w:tc>
          <w:tcPr/>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 o especialista del Centro Remisor o Referente</w:t>
            </w:r>
          </w:p>
        </w:tc>
        <w:tc>
          <w:tcPr/>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sz w:val="24"/>
                <w:szCs w:val="24"/>
                <w:rtl w:val="0"/>
              </w:rPr>
              <w:t xml:space="preserve">En zonas sin conectividad estable: garantizar al menos contacto telefónico para la orientación inicial y la prescripción del esquema farmacológico.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por voz es válida y legalmente suficiente para la orientación de la IVE médica domiciliaria cuando no es posible la videoconferencia.</w:t>
            </w:r>
          </w:p>
        </w:tc>
      </w:tr>
      <w:tr>
        <w:trPr>
          <w:cantSplit w:val="0"/>
          <w:tblHeader w:val="0"/>
        </w:trPr>
        <w:tc>
          <w:tcPr/>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sz w:val="24"/>
                <w:szCs w:val="24"/>
                <w:rtl w:val="0"/>
              </w:rPr>
              <w:t xml:space="preserve">2. Verificación y consentimiento</w:t>
            </w:r>
          </w:p>
        </w:tc>
        <w:tc>
          <w:tcPr/>
          <w:p w:rsidR="00000000" w:rsidDel="00000000" w:rsidP="00000000" w:rsidRDefault="00000000" w:rsidRPr="00000000" w14:paraId="00000040">
            <w:pPr>
              <w:rPr>
                <w:rFonts w:ascii="Arial" w:cs="Arial" w:eastAsia="Arial" w:hAnsi="Arial"/>
                <w:sz w:val="24"/>
                <w:szCs w:val="24"/>
              </w:rPr>
            </w:pPr>
            <w:r w:rsidDel="00000000" w:rsidR="00000000" w:rsidRPr="00000000">
              <w:rPr>
                <w:rFonts w:ascii="Arial" w:cs="Arial" w:eastAsia="Arial" w:hAnsi="Arial"/>
                <w:sz w:val="24"/>
                <w:szCs w:val="24"/>
                <w:rtl w:val="0"/>
              </w:rPr>
              <w:t xml:space="preserve">Confirmar la identidad de la solicitante, la voluntariedad de la decisión y la ausencia de coacción externa. Obtener el consentimiento informado para la IVE y para la atención por telemedicina. El consentimiento es de la mujer únicamente: no se requiere la autorización de la pareja, de los padres (en mayores de 14 años con plena capacidad de decisión) ni de ningún tercero. En adolescentes menores de 14 años: valorar la situación individual, garantizar la protección frente al abuso y proceder conforme a la autonomía progresiva reconocida por la jurisprudencia.</w:t>
            </w:r>
          </w:p>
        </w:tc>
        <w:tc>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 / Profesional solicitante</w:t>
            </w:r>
          </w:p>
        </w:tc>
        <w:tc>
          <w:tcPr/>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sz w:val="24"/>
                <w:szCs w:val="24"/>
                <w:rtl w:val="0"/>
              </w:rPr>
              <w:t xml:space="preserve">Registrar el consentimiento en la historia clínica. Garantizar la privacidad absoluta de la consulta. Verificar que la mujer esté en un espacio seguro y que pueda hablar con libertad. No registrar información que pueda poner en riesgo la seguridad de la paciente en contextos de violencia de pareja.</w:t>
            </w:r>
          </w:p>
        </w:tc>
      </w:tr>
      <w:tr>
        <w:trPr>
          <w:cantSplit w:val="0"/>
          <w:tblHeader w:val="0"/>
        </w:trPr>
        <w:tc>
          <w:tcPr/>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sz w:val="24"/>
                <w:szCs w:val="24"/>
                <w:rtl w:val="0"/>
              </w:rPr>
              <w:t xml:space="preserve">3. Diligenciamiento y envío de datos</w:t>
            </w:r>
          </w:p>
        </w:tc>
        <w:tc>
          <w:tcPr/>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Registrar: edad gestacional por FUM y ecografía, resultado ecográfico (localización intrauterina confirmada, tamaño del saco gestacional o longitud cráneo-caudal), antecedentes médicos relevantes para la elegibilidad (anemia severa, trastornos de la coagulación, uso de anticoagulantes, DIU in situ, corticosteroides crónicos, porfiria, insuficiencia suprarrenal), grupo sanguíneo (para determinar necesidad de inmunoglobulina anti-Rh), causal invocada si aplica, y preferencias de la mujer sobre el régimen farmacológico y el lugar del proceso.</w:t>
            </w:r>
          </w:p>
        </w:tc>
        <w:tc>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Canales corporativos: líneas 3228234549 y 3228234532 — correo telemedicina.digital@hun.edu.co. Los datos clínicos mínimos requeridos para iniciar la IVE médica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son: confirmación de embarazo intrauterino, edad gestacional y ausencia de contraindicaciones absolutas. No existe un requisito legal de examen pélvico presencial previo cuando estos datos están disponibles.</w:t>
            </w:r>
          </w:p>
        </w:tc>
      </w:tr>
      <w:tr>
        <w:trPr>
          <w:cantSplit w:val="0"/>
          <w:tblHeader w:val="0"/>
        </w:trPr>
        <w:tc>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4. Recepción y validación</w:t>
            </w:r>
          </w:p>
        </w:tc>
        <w:tc>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Recibir la información clínica, validar la elegibilidad para IVE médica domiciliaria (ausencia de contraindicaciones absolutas: DIU in situ no retirado, sospecha de ectópico, coagulopatía no controlada, tratamiento crónico con corticosteroides o anticoagulantes), confirmar la edad gestacional y establecer el enlace sincrónico de video o voz para la consulta de orientación. Registrar apertura del caso en Hosvital.</w:t>
            </w:r>
          </w:p>
        </w:tc>
        <w:tc>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Profesional experto</w:t>
            </w:r>
          </w:p>
        </w:tc>
        <w:tc>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Tiempo máximo de primera atención: &lt; 24 horas desde la recepción de la solicitud. La demora deliberada en la atención de una solicitud de IVE constituye una barrera de acceso indebida y es susceptible de acción de tutela según la jurisprudencia de la Corte Constitucional.</w:t>
            </w:r>
          </w:p>
        </w:tc>
      </w:tr>
      <w:tr>
        <w:trPr>
          <w:cantSplit w:val="0"/>
          <w:trHeight w:val="23741.484375" w:hRule="atLeast"/>
          <w:tblHeader w:val="0"/>
        </w:trPr>
        <w:tc>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5. Análisis y concepto clínico</w:t>
            </w:r>
          </w:p>
        </w:tc>
        <w:tc>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Consulta de orientación virtual estructurada: (a) confirmación de la voluntariedad de la decisión y ausencia de coacción; (b) información equilibrada sobre el proceso esperado (sangrado, cólicos, duración), los signos de alarma que requieren consulta presencial urgente y las tasas de eficacia del régimen elegido; (c) prescripción del régimen farmacológico: mifepristona 200 mg vía oral en el día 1 + misoprostol 800 mcg sublingual o bucal a las 24-48 horas (régimen de primera elección); o misoprostol solo 800 mcg sublingual cada 3 horas hasta 3 dosis si mifepristona no disponible; (d) indicación de inmunoglobulina anti-Rh en mujeres Rh negativo dentro de las 72 horas; (e) consejería anticonceptiva y prescripción del método elegido para inicio post-IVE; (f) programación del seguimiento a las 48-72 horas post-misoprostol para confirmar la completitud.</w:t>
            </w:r>
          </w:p>
        </w:tc>
        <w:tc>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 / Profesional solicitante</w:t>
            </w:r>
          </w:p>
        </w:tc>
        <w:tc>
          <w:tcPr/>
          <w:p w:rsidR="00000000" w:rsidDel="00000000" w:rsidP="00000000" w:rsidRDefault="00000000" w:rsidRPr="00000000" w14:paraId="0000004E">
            <w:pPr>
              <w:rPr>
                <w:rFonts w:ascii="Arial" w:cs="Arial" w:eastAsia="Arial" w:hAnsi="Arial"/>
                <w:sz w:val="24"/>
                <w:szCs w:val="24"/>
              </w:rPr>
            </w:pPr>
            <w:sdt>
              <w:sdtPr>
                <w:id w:val="-1637228027"/>
                <w:tag w:val="goog_rdk_0"/>
              </w:sdtPr>
              <w:sdtContent>
                <w:r w:rsidDel="00000000" w:rsidR="00000000" w:rsidRPr="00000000">
                  <w:rPr>
                    <w:rFonts w:ascii="Arial Unicode MS" w:cs="Arial Unicode MS" w:eastAsia="Arial Unicode MS" w:hAnsi="Arial Unicode MS"/>
                    <w:sz w:val="24"/>
                    <w:szCs w:val="24"/>
                    <w:rtl w:val="0"/>
                  </w:rPr>
                  <w:t xml:space="preserve">Historia clínica Hosvital. El especialista informa a la mujer qué esperar durante el proceso e instruye sobre los signos de alarma que requieren consulta urgente: fiebre ≥ 38°C por más de 24 horas, sangrado que empapa más de 2 toallas sanitarias gruesas por hora durante 2 horas consecutivas, dolor abdominal severo que no responde a analgesia oral, y ausencia total de sangrado a las 24 horas de la toma del misoprostol.</w:t>
                </w:r>
              </w:sdtContent>
            </w:sdt>
          </w:p>
        </w:tc>
      </w:tr>
      <w:tr>
        <w:trPr>
          <w:cantSplit w:val="0"/>
          <w:trHeight w:val="7861.9921875" w:hRule="atLeast"/>
          <w:tblHeader w:val="0"/>
        </w:trPr>
        <w:tc>
          <w:tcPr/>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6. Envío de ordenamiento y cierre</w:t>
            </w:r>
          </w:p>
        </w:tc>
        <w:tc>
          <w:tcPr/>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Consolidar por escrito el concepto clínico: régimen farmacológico prescrito con dosis y vía de administración, plan de seguimiento (tele consulta a las 48-72 horas post-misoprostol), método anticonceptivo prescrito para inicio el día del misoprostol o en el seguimiento, instrucciones de signos de alarma, y número de contacto para atención de urgencias. Si el seguimiento confirma IVE completa, cerrar el episodio. Si hay signos de IVE incompleta: prescribir dosis adicional de misoprostol o coordinar remisión para AMEU de completamiento. Registrar obligatoriamente en ambos sistemas.</w:t>
            </w:r>
          </w:p>
        </w:tc>
        <w:tc>
          <w:tcPr/>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 y Centro Remisor</w:t>
            </w:r>
          </w:p>
        </w:tc>
        <w:tc>
          <w:tcPr/>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La historia clínica debe reflejar que la atención se realizó en el marco legal vigente, sin barreras indebidas y con consentimiento libre e informado. El cierre del episodio incluye la confirmación de que la mujer tiene método anticonceptivo activo y acceso a la línea de atención para resolver dudas en las 2 semanas siguientes.</w:t>
            </w:r>
          </w:p>
        </w:tc>
      </w:tr>
    </w:tbl>
    <w:p w:rsidR="00000000" w:rsidDel="00000000" w:rsidP="00000000" w:rsidRDefault="00000000" w:rsidRPr="00000000" w14:paraId="00000053">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8. Criterios de Inclusión / Exclusión en Telesalud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Criterios de Inclusión para IVE Médica por Teleexperticia</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Mujeres con embarazo intrauterino confirmado (por ecografía o por síntomas clínicos con certeza razonable) con edad gestacional hasta 12 0/7 semanas para régimen combinado mifepristona más misoprostol.</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Mujeres con embarazo intrauterino confirmado hasta 14 6/7 semanas para régimen de misoprostol solo con protocolo de dosis repetidas, cuando el régimen combinado no está disponible.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Ausencia de contraindicaciones absolutas para IVE médica: no DIU in situ, no sospecha de embarazo ectópico, no coagulopatía grave no controlada, no tratamiento crónico con anticoagulantes o corticosteroides sistémicos, no insuficiencia suprarrenal, no porfiria.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a comunicación por video o voz para la tele consulta de orientación y el seguimiento.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a punto de dispensación del régimen farmacológico (farmacia institucional o red de droguerías certificadas).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Mujeres que invocan causal de violencia sexual: la declaración de la propia víctima es suficiente para la atención en cualquier edad gestacional. No se requiere denuncia penal ni documentación adicional.</w:t>
      </w:r>
    </w:p>
    <w:p w:rsidR="00000000" w:rsidDel="00000000" w:rsidP="00000000" w:rsidRDefault="00000000" w:rsidRPr="00000000" w14:paraId="0000005C">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Criterios de Exclusión (Atención Presencial Obligatoria o Remisión)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Sospecha de embarazo ectópico: evaluación presencial urgente con ecografía transvaginal antes de cualquier manejo.</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074573356"/>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Edad gestacional ≥ 15 semanas: remisión a institución habilitada para D&amp;E con preparación cervical guiada por especialista.</w:t>
          </w:r>
        </w:sdtContent>
      </w:sdt>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DIU in situ: retiro del DIU de forma presencial antes de la administración del régimen farmacológico.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Coagulopatía grave, anemia severa (hemoglobina &lt; 8 g/dL) o inestabilidad hemodinámica al momento de la consulta: evaluación presencial y estabilización antes de proceder.</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Fracaso de IVE médica con IVE incompleta que no responde a segunda dosis de misoprostol: remisión para AMEU de completamiento en institución habilitada.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Complicaciones post-IVE con criterios de urgencia (ver signos de alarma en sección 7): remisión a urgencias sin demora.</w:t>
      </w:r>
    </w:p>
    <w:p w:rsidR="00000000" w:rsidDel="00000000" w:rsidP="00000000" w:rsidRDefault="00000000" w:rsidRPr="00000000" w14:paraId="00000063">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9. Roles y Responsabilidades en Telesalud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Médico general o profesional de salud (Centro Remisor):</w:t>
      </w:r>
      <w:r w:rsidDel="00000000" w:rsidR="00000000" w:rsidRPr="00000000">
        <w:rPr>
          <w:rFonts w:ascii="Arial" w:cs="Arial" w:eastAsia="Arial" w:hAnsi="Arial"/>
          <w:sz w:val="24"/>
          <w:szCs w:val="24"/>
          <w:rtl w:val="0"/>
        </w:rPr>
        <w:t xml:space="preserve"> responsable de la captación de la solicitud de IVE, la verificación inicial de la edad gestacional, la detección de contraindicaciones absolutas y la activación del enlace de teleexperticia con el ginecobstetra referente. En contextos donde el profesional remisor está habilitado y capacitado para la provisión de IVE médica, puede gestionar el proceso completo de manera autónoma (incluyendo prescripción y seguimiento) con el respaldo consultivo del referente disponible.</w:t>
      </w:r>
    </w:p>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Especialista en Ginecología y Obstetricia (Centro Referente):</w:t>
      </w:r>
      <w:r w:rsidDel="00000000" w:rsidR="00000000" w:rsidRPr="00000000">
        <w:rPr>
          <w:rFonts w:ascii="Arial" w:cs="Arial" w:eastAsia="Arial" w:hAnsi="Arial"/>
          <w:sz w:val="24"/>
          <w:szCs w:val="24"/>
          <w:rtl w:val="0"/>
        </w:rPr>
        <w:t xml:space="preserve"> responsable de la consulta de orientación completa, la validación de la elegibilidad para IVE médica, la prescripción del régimen farmacológico, la atención del seguimiento y la toma de decisiones en caso de complicaciones. Garantiza que la atención se realiza sin barreras, en el menor tiempo posible y con el más alto estándar de calidad clínica. No puede invocar objeción de conciencia institucional; la objeción individual, si existe, obliga a la remisión inmediata a un colega no objetor dentro del mismo turno de atención.</w:t>
      </w:r>
    </w:p>
    <w:p w:rsidR="00000000" w:rsidDel="00000000" w:rsidP="00000000" w:rsidRDefault="00000000" w:rsidRPr="00000000" w14:paraId="00000067">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Psicología o trabajo social (Centro Referente): </w:t>
      </w:r>
      <w:r w:rsidDel="00000000" w:rsidR="00000000" w:rsidRPr="00000000">
        <w:rPr>
          <w:rFonts w:ascii="Arial" w:cs="Arial" w:eastAsia="Arial" w:hAnsi="Arial"/>
          <w:sz w:val="24"/>
          <w:szCs w:val="24"/>
          <w:rtl w:val="0"/>
        </w:rPr>
        <w:t xml:space="preserve">disponible para la mujer que expresa angustia severa, ambivalencia extrema, señales de coacción o antecedente de violencia sexual. La derivación no es obligatoria ni condiciona el acceso a la IVE; es un recurso de apoyo a disposición de la paciente. El apoyo emocional es un </w:t>
      </w:r>
      <w:r w:rsidDel="00000000" w:rsidR="00000000" w:rsidRPr="00000000">
        <w:rPr>
          <w:rFonts w:ascii="Arial" w:cs="Arial" w:eastAsia="Arial" w:hAnsi="Arial"/>
          <w:b w:val="1"/>
          <w:bCs w:val="1"/>
          <w:sz w:val="24"/>
          <w:szCs w:val="24"/>
          <w:rtl w:val="0"/>
        </w:rPr>
        <w:t xml:space="preserve">componente del protocolo, no una barrera ni una etapa de demora.</w:t>
      </w:r>
    </w:p>
    <w:p w:rsidR="00000000" w:rsidDel="00000000" w:rsidP="00000000" w:rsidRDefault="00000000" w:rsidRPr="00000000" w14:paraId="00000068">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Gestor de referencia y contrarreferencia (Rol administrativo):</w:t>
      </w:r>
      <w:r w:rsidDel="00000000" w:rsidR="00000000" w:rsidRPr="00000000">
        <w:rPr>
          <w:rFonts w:ascii="Arial" w:cs="Arial" w:eastAsia="Arial" w:hAnsi="Arial"/>
          <w:sz w:val="24"/>
          <w:szCs w:val="24"/>
          <w:rtl w:val="0"/>
        </w:rPr>
        <w:t xml:space="preserve"> coordina las remisiones para IVE quirúrgica (AMEU o D&amp;E) a instituciones habilitadas, gestiona la disponibilidad de turnos quirúrgicos y garantiza que el traslado de la paciente no implique una demora que supere los 5 días hábiles desde la solicitud.</w:t>
      </w:r>
    </w:p>
    <w:p w:rsidR="00000000" w:rsidDel="00000000" w:rsidP="00000000" w:rsidRDefault="00000000" w:rsidRPr="00000000" w14:paraId="00000069">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10. Tiempos de Respuesta Sugeridos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Cronometría de la atención en IVE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Tiempo máximo desde la solicitud hasta la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primera tele consulta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orientación: 24 horas hábiles. La demora en la atención de una solicitud de IVE es una barrera de acceso indebida susceptible de tutela.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Tiempo máximo desde la </w:t>
      </w:r>
      <w:r w:rsidDel="00000000" w:rsidR="00000000" w:rsidRPr="00000000">
        <w:rPr>
          <w:rFonts w:ascii="Arial" w:cs="Arial" w:eastAsia="Arial" w:hAnsi="Arial"/>
          <w:sz w:val="24"/>
          <w:szCs w:val="24"/>
          <w:rtl w:val="0"/>
        </w:rPr>
        <w:t xml:space="preserve">primera consulta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hasta la prescripción y acceso al régimen farmacológico: 48 horas. El objetivo es que la mujer tenga los medicamentos en mano en el menor tiempo posible dentro de la ventana de eficacia.</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Seguimiento post-misoprostol: tele consulta programada a las 48-72 horas del misoprostol para evaluación de la completitud del proceso.</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Tiempo máximo desde la confirmación de IVE incompleta hasta la AMEU de completamiento: máximo 5 días hábiles si la paciente está clínicamente estable; urgente (&lt; 24 horas) si hay sangrado activo severo o infección.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Tiempo máximo desde la solicitud de IVE quirúrgica (semanas 15-24) hasta la realización del procedimiento: máximo 5 días hábiles desde la primera consulta.</w:t>
      </w:r>
    </w:p>
    <w:p w:rsidR="00000000" w:rsidDel="00000000" w:rsidP="00000000" w:rsidRDefault="00000000" w:rsidRPr="00000000" w14:paraId="00000071">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Gestión de contingencias: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Indisponibilidad de mifepristona en la red: activar el régimen de misoprostol solo, informar a la paciente sobre la diferencia en la tasa de eficacia (80-85% vs. 95-98%), y coordinar la remisión a una institución que tenga disponible el régimen combinado si la mujer así lo prefiere.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Fallo de conectividad durante el seguimiento: garantizar el contacto telefónico como mínimo. Si la mujer no puede ser contactada en el seguimiento programado, el equipo realizará búsqueda activa en las 24 horas siguientes para verificar su evolución.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Objeción de conciencia del profesional remisor: el remisor que ejerce objeción de conciencia individual tiene la obligación legal de remitir de inmediato a un colega no objetor dentro del mismo turno o guardia. No puede remitir a la paciente sin antes garantizar que el profesional receptor estará disponible. El tiempo de espera por objeción de conciencia no está justificado y constituye una barrera indebida.</w:t>
      </w:r>
    </w:p>
    <w:p w:rsidR="00000000" w:rsidDel="00000000" w:rsidP="00000000" w:rsidRDefault="00000000" w:rsidRPr="00000000" w14:paraId="00000075">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11. Estrategias de Humanización Digital y Diálogo Intercultural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Atención libre de estigma y juicio: la IVE es uno de los procedimientos médicos más estigmatizados en el mundo y en Colombia. El profesional de salud debe adoptar una postura radicalmente no directiva, evitar el uso de lenguaje moralizante, no expresar desacuerdo con la decisión de la mujer ni condicionar la atención a la justificación de su decisión. Términos como "matar", "bebé", "arrepentirse" o cualquier expresión que genere culpa o vergüenza son estrictamente inapropiados en el contexto de la consulta clínica.</w:t>
      </w:r>
    </w:p>
    <w:p w:rsidR="00000000" w:rsidDel="00000000" w:rsidP="00000000" w:rsidRDefault="00000000" w:rsidRPr="00000000" w14:paraId="000000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Privacidad y seguridad: la tele consulta de IVE se realiza con información altamente sensible. El profesional debe verificar que la mujer está en un espacio privado, que nadie que no sea de su confianza puede escucharla, y que la información registrada en la historia clínica no pondrá en riesgo su seguridad en contextos de violencia de pareja. En mujeres en situación de violencia doméstica, se debe ofrecer la opción de no registrar el domicilio real en la historia clínica y de usar un número de contacto alternativo.</w:t>
      </w:r>
    </w:p>
    <w:p w:rsidR="00000000" w:rsidDel="00000000" w:rsidP="00000000" w:rsidRDefault="00000000" w:rsidRPr="00000000" w14:paraId="000000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Acompañamiento emocional sin presión: el espectro de respuestas emocionales ante la IVE es amplio y todas son válidas: alivio, tristeza, ambivalencia, certeza, miedo. El profesional debe crear un espacio de validación emocional sin intentar modificar el estado emocional de la mujer ni sugerir que debería sentir algo diferente. Si la mujer expresa angustia severa o solicita acompañamiento emocional, se ofrecerá la derivación a psicología o a las redes de apoyo disponibles, sin que esto condicione o retrase la atención clínica.</w:t>
      </w:r>
    </w:p>
    <w:p w:rsidR="00000000" w:rsidDel="00000000" w:rsidP="00000000" w:rsidRDefault="00000000" w:rsidRPr="00000000" w14:paraId="000000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Abordaje en adolescentes: las adolescentes que solicitan IVE pueden enfrentar presión adicional de sus entornos familiares, escolares y comunitarios. El profesional debe garantizar la confidencialidad, explorar con cuidado si la solicitud es voluntaria o inducida por terceros, e informar a la adolescente sobre sus derechos en el proceso. En casos de violencia sexual en adolescentes, la activación de la ruta de protección (ICBF, Fiscalía) no puede condicionar ni retrasar la atención de la IVE.</w:t>
      </w:r>
    </w:p>
    <w:p w:rsidR="00000000" w:rsidDel="00000000" w:rsidP="00000000" w:rsidRDefault="00000000" w:rsidRPr="00000000" w14:paraId="000000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Diversidad cultural y religiosa: en comunidades donde la IVE es profundamente estigmatizada por motivos religiosos o culturales, la mujer puede llegar a la consulta con altos niveles de culpa o vergüenza internalizados. El profesional debe reconocer el contexto cultural sin reforzar el estigma, recordar que la decisión ya fue tomada por la mujer y que su rol es brindar la mejor atención médica posible, y referir a redes de apoyo laicas y especializadas si la mujer lo solicita.</w:t>
      </w:r>
    </w:p>
    <w:p w:rsidR="00000000" w:rsidDel="00000000" w:rsidP="00000000" w:rsidRDefault="00000000" w:rsidRPr="00000000" w14:paraId="0000007C">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 Indicadores de Calidad y Seguimiento</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7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Indicador</w:t>
            </w:r>
            <w:r w:rsidDel="00000000" w:rsidR="00000000" w:rsidRPr="00000000">
              <w:rPr>
                <w:rtl w:val="0"/>
              </w:rPr>
            </w:r>
          </w:p>
        </w:tc>
        <w:tc>
          <w:tcPr/>
          <w:p w:rsidR="00000000" w:rsidDel="00000000" w:rsidP="00000000" w:rsidRDefault="00000000" w:rsidRPr="00000000" w14:paraId="0000007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w:t>
            </w:r>
            <w:r w:rsidDel="00000000" w:rsidR="00000000" w:rsidRPr="00000000">
              <w:rPr>
                <w:rtl w:val="0"/>
              </w:rPr>
            </w:r>
          </w:p>
        </w:tc>
        <w:tc>
          <w:tcPr/>
          <w:p w:rsidR="00000000" w:rsidDel="00000000" w:rsidP="00000000" w:rsidRDefault="00000000" w:rsidRPr="00000000" w14:paraId="0000007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80">
            <w:pPr>
              <w:rPr>
                <w:rFonts w:ascii="Arial" w:cs="Arial" w:eastAsia="Arial" w:hAnsi="Arial"/>
                <w:sz w:val="24"/>
                <w:szCs w:val="24"/>
              </w:rPr>
            </w:pPr>
            <w:r w:rsidDel="00000000" w:rsidR="00000000" w:rsidRPr="00000000">
              <w:rPr>
                <w:rFonts w:ascii="Arial" w:cs="Arial" w:eastAsia="Arial" w:hAnsi="Arial"/>
                <w:sz w:val="24"/>
                <w:szCs w:val="24"/>
                <w:rtl w:val="0"/>
              </w:rPr>
              <w:t xml:space="preserve">Oportunidad de atención de la solicitud de IVE</w:t>
            </w:r>
          </w:p>
        </w:tc>
        <w:tc>
          <w:tcPr/>
          <w:p w:rsidR="00000000" w:rsidDel="00000000" w:rsidP="00000000" w:rsidRDefault="00000000" w:rsidRPr="00000000" w14:paraId="00000081">
            <w:pPr>
              <w:rPr>
                <w:rFonts w:ascii="Arial" w:cs="Arial" w:eastAsia="Arial" w:hAnsi="Arial"/>
                <w:sz w:val="24"/>
                <w:szCs w:val="24"/>
              </w:rPr>
            </w:pPr>
            <w:r w:rsidDel="00000000" w:rsidR="00000000" w:rsidRPr="00000000">
              <w:rPr>
                <w:rFonts w:ascii="Arial" w:cs="Arial" w:eastAsia="Arial" w:hAnsi="Arial"/>
                <w:sz w:val="24"/>
                <w:szCs w:val="24"/>
                <w:rtl w:val="0"/>
              </w:rPr>
              <w:t xml:space="preserve">% de solicitudes de IVE con primera tele consulta de orientación realizada en &lt; 24 horas hábiles desde la recepción sobre el total de solicitudes recibidas</w:t>
            </w:r>
          </w:p>
        </w:tc>
        <w:tc>
          <w:tcPr/>
          <w:p w:rsidR="00000000" w:rsidDel="00000000" w:rsidP="00000000" w:rsidRDefault="00000000" w:rsidRPr="00000000" w14:paraId="00000082">
            <w:pPr>
              <w:rPr>
                <w:rFonts w:ascii="Arial" w:cs="Arial" w:eastAsia="Arial" w:hAnsi="Arial"/>
                <w:sz w:val="24"/>
                <w:szCs w:val="24"/>
              </w:rPr>
            </w:pPr>
            <w:sdt>
              <w:sdtPr>
                <w:id w:val="-208233088"/>
                <w:tag w:val="goog_rdk_2"/>
              </w:sdtPr>
              <w:sdtContent>
                <w:r w:rsidDel="00000000" w:rsidR="00000000" w:rsidRPr="00000000">
                  <w:rPr>
                    <w:rFonts w:ascii="Arial Unicode MS" w:cs="Arial Unicode MS" w:eastAsia="Arial Unicode MS" w:hAnsi="Arial Unicode MS"/>
                    <w:sz w:val="24"/>
                    <w:szCs w:val="24"/>
                    <w:rtl w:val="0"/>
                  </w:rPr>
                  <w:t xml:space="preserve">≥ 95 %</w:t>
                </w:r>
              </w:sdtContent>
            </w:sdt>
          </w:p>
        </w:tc>
      </w:tr>
      <w:tr>
        <w:trPr>
          <w:cantSplit w:val="0"/>
          <w:tblHeader w:val="0"/>
        </w:trPr>
        <w:tc>
          <w:tcPr/>
          <w:p w:rsidR="00000000" w:rsidDel="00000000" w:rsidP="00000000" w:rsidRDefault="00000000" w:rsidRPr="00000000" w14:paraId="00000083">
            <w:pPr>
              <w:rPr>
                <w:rFonts w:ascii="Arial" w:cs="Arial" w:eastAsia="Arial" w:hAnsi="Arial"/>
                <w:sz w:val="24"/>
                <w:szCs w:val="24"/>
              </w:rPr>
            </w:pPr>
            <w:r w:rsidDel="00000000" w:rsidR="00000000" w:rsidRPr="00000000">
              <w:rPr>
                <w:rFonts w:ascii="Arial" w:cs="Arial" w:eastAsia="Arial" w:hAnsi="Arial"/>
                <w:sz w:val="24"/>
                <w:szCs w:val="24"/>
                <w:rtl w:val="0"/>
              </w:rPr>
              <w:t xml:space="preserve">Eficacia de la IVE médica domiciliaria</w:t>
            </w:r>
          </w:p>
        </w:tc>
        <w:tc>
          <w:tcPr/>
          <w:p w:rsidR="00000000" w:rsidDel="00000000" w:rsidP="00000000" w:rsidRDefault="00000000" w:rsidRPr="00000000" w14:paraId="00000084">
            <w:pPr>
              <w:rPr>
                <w:rFonts w:ascii="Arial" w:cs="Arial" w:eastAsia="Arial" w:hAnsi="Arial"/>
                <w:sz w:val="24"/>
                <w:szCs w:val="24"/>
              </w:rPr>
            </w:pPr>
            <w:r w:rsidDel="00000000" w:rsidR="00000000" w:rsidRPr="00000000">
              <w:rPr>
                <w:rFonts w:ascii="Arial" w:cs="Arial" w:eastAsia="Arial" w:hAnsi="Arial"/>
                <w:sz w:val="24"/>
                <w:szCs w:val="24"/>
                <w:rtl w:val="0"/>
              </w:rPr>
              <w:t xml:space="preserve">% de IVE médicas realizadas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con completitud confirmada sin necesidad de AMEU de completamiento sobre el total de IVE médicas con seguimiento documentado</w:t>
            </w:r>
          </w:p>
        </w:tc>
        <w:tc>
          <w:tcPr/>
          <w:p w:rsidR="00000000" w:rsidDel="00000000" w:rsidP="00000000" w:rsidRDefault="00000000" w:rsidRPr="00000000" w14:paraId="00000085">
            <w:pPr>
              <w:rPr>
                <w:rFonts w:ascii="Arial" w:cs="Arial" w:eastAsia="Arial" w:hAnsi="Arial"/>
                <w:sz w:val="24"/>
                <w:szCs w:val="24"/>
              </w:rPr>
            </w:pPr>
            <w:sdt>
              <w:sdtPr>
                <w:id w:val="-609397251"/>
                <w:tag w:val="goog_rdk_3"/>
              </w:sdtPr>
              <w:sdtContent>
                <w:r w:rsidDel="00000000" w:rsidR="00000000" w:rsidRPr="00000000">
                  <w:rPr>
                    <w:rFonts w:ascii="Arial Unicode MS" w:cs="Arial Unicode MS" w:eastAsia="Arial Unicode MS" w:hAnsi="Arial Unicode MS"/>
                    <w:sz w:val="24"/>
                    <w:szCs w:val="24"/>
                    <w:rtl w:val="0"/>
                  </w:rPr>
                  <w:t xml:space="preserve">≥ 93 %</w:t>
                </w:r>
              </w:sdtContent>
            </w:sdt>
          </w:p>
        </w:tc>
      </w:tr>
      <w:tr>
        <w:trPr>
          <w:cantSplit w:val="0"/>
          <w:tblHeader w:val="0"/>
        </w:trPr>
        <w:tc>
          <w:tcPr/>
          <w:p w:rsidR="00000000" w:rsidDel="00000000" w:rsidP="00000000" w:rsidRDefault="00000000" w:rsidRPr="00000000" w14:paraId="00000086">
            <w:pPr>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 seguimiento post-IVE médica</w:t>
            </w:r>
          </w:p>
        </w:tc>
        <w:tc>
          <w:tcPr/>
          <w:p w:rsidR="00000000" w:rsidDel="00000000" w:rsidP="00000000" w:rsidRDefault="00000000" w:rsidRPr="00000000" w14:paraId="00000087">
            <w:pPr>
              <w:rPr>
                <w:rFonts w:ascii="Arial" w:cs="Arial" w:eastAsia="Arial" w:hAnsi="Arial"/>
                <w:sz w:val="24"/>
                <w:szCs w:val="24"/>
              </w:rPr>
            </w:pPr>
            <w:r w:rsidDel="00000000" w:rsidR="00000000" w:rsidRPr="00000000">
              <w:rPr>
                <w:rFonts w:ascii="Arial" w:cs="Arial" w:eastAsia="Arial" w:hAnsi="Arial"/>
                <w:sz w:val="24"/>
                <w:szCs w:val="24"/>
                <w:rtl w:val="0"/>
              </w:rPr>
              <w:t xml:space="preserve">% de mujeres con IVE médica domiciliaria que completan la teleconsulta de seguimiento a las 48-72 horas post-misoprostol sobre el total de IVE médicas realizadas</w:t>
            </w:r>
          </w:p>
        </w:tc>
        <w:tc>
          <w:tcPr/>
          <w:p w:rsidR="00000000" w:rsidDel="00000000" w:rsidP="00000000" w:rsidRDefault="00000000" w:rsidRPr="00000000" w14:paraId="00000088">
            <w:pPr>
              <w:rPr>
                <w:rFonts w:ascii="Arial" w:cs="Arial" w:eastAsia="Arial" w:hAnsi="Arial"/>
                <w:sz w:val="24"/>
                <w:szCs w:val="24"/>
              </w:rPr>
            </w:pPr>
            <w:sdt>
              <w:sdtPr>
                <w:id w:val="80580569"/>
                <w:tag w:val="goog_rdk_4"/>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89">
            <w:pPr>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 anticoncepción post-IVE</w:t>
            </w:r>
          </w:p>
        </w:tc>
        <w:tc>
          <w:tcPr/>
          <w:p w:rsidR="00000000" w:rsidDel="00000000" w:rsidP="00000000" w:rsidRDefault="00000000" w:rsidRPr="00000000" w14:paraId="0000008A">
            <w:pPr>
              <w:rPr>
                <w:rFonts w:ascii="Arial" w:cs="Arial" w:eastAsia="Arial" w:hAnsi="Arial"/>
                <w:sz w:val="24"/>
                <w:szCs w:val="24"/>
              </w:rPr>
            </w:pPr>
            <w:r w:rsidDel="00000000" w:rsidR="00000000" w:rsidRPr="00000000">
              <w:rPr>
                <w:rFonts w:ascii="Arial" w:cs="Arial" w:eastAsia="Arial" w:hAnsi="Arial"/>
                <w:sz w:val="24"/>
                <w:szCs w:val="24"/>
                <w:rtl w:val="0"/>
              </w:rPr>
              <w:t xml:space="preserve">% de mujeres con IVE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que tienen método anticonceptivo activo al cierre del episodio (prescrito o confirmado) sobre el total de IVE atendidas</w:t>
            </w:r>
          </w:p>
        </w:tc>
        <w:tc>
          <w:tcPr/>
          <w:p w:rsidR="00000000" w:rsidDel="00000000" w:rsidP="00000000" w:rsidRDefault="00000000" w:rsidRPr="00000000" w14:paraId="0000008B">
            <w:pPr>
              <w:rPr>
                <w:rFonts w:ascii="Arial" w:cs="Arial" w:eastAsia="Arial" w:hAnsi="Arial"/>
                <w:sz w:val="24"/>
                <w:szCs w:val="24"/>
              </w:rPr>
            </w:pPr>
            <w:sdt>
              <w:sdtPr>
                <w:id w:val="-321225938"/>
                <w:tag w:val="goog_rdk_5"/>
              </w:sdtPr>
              <w:sdtContent>
                <w:r w:rsidDel="00000000" w:rsidR="00000000" w:rsidRPr="00000000">
                  <w:rPr>
                    <w:rFonts w:ascii="Arial Unicode MS" w:cs="Arial Unicode MS" w:eastAsia="Arial Unicode MS" w:hAnsi="Arial Unicode MS"/>
                    <w:sz w:val="24"/>
                    <w:szCs w:val="24"/>
                    <w:rtl w:val="0"/>
                  </w:rPr>
                  <w:t xml:space="preserve">≥ 95 %</w:t>
                </w:r>
              </w:sdtContent>
            </w:sdt>
          </w:p>
        </w:tc>
      </w:tr>
      <w:tr>
        <w:trPr>
          <w:cantSplit w:val="0"/>
          <w:tblHeader w:val="0"/>
        </w:trPr>
        <w:tc>
          <w:tcPr/>
          <w:p w:rsidR="00000000" w:rsidDel="00000000" w:rsidP="00000000" w:rsidRDefault="00000000" w:rsidRPr="00000000" w14:paraId="0000008C">
            <w:pPr>
              <w:rPr>
                <w:rFonts w:ascii="Arial" w:cs="Arial" w:eastAsia="Arial" w:hAnsi="Arial"/>
                <w:sz w:val="24"/>
                <w:szCs w:val="24"/>
              </w:rPr>
            </w:pPr>
            <w:r w:rsidDel="00000000" w:rsidR="00000000" w:rsidRPr="00000000">
              <w:rPr>
                <w:rFonts w:ascii="Arial" w:cs="Arial" w:eastAsia="Arial" w:hAnsi="Arial"/>
                <w:sz w:val="24"/>
                <w:szCs w:val="24"/>
                <w:rtl w:val="0"/>
              </w:rPr>
              <w:t xml:space="preserve">Ausencia de barreras de acceso indebidas</w:t>
            </w:r>
          </w:p>
        </w:tc>
        <w:tc>
          <w:tcPr/>
          <w:p w:rsidR="00000000" w:rsidDel="00000000" w:rsidP="00000000" w:rsidRDefault="00000000" w:rsidRPr="00000000" w14:paraId="0000008D">
            <w:pPr>
              <w:rPr>
                <w:rFonts w:ascii="Arial" w:cs="Arial" w:eastAsia="Arial" w:hAnsi="Arial"/>
                <w:sz w:val="24"/>
                <w:szCs w:val="24"/>
              </w:rPr>
            </w:pPr>
            <w:r w:rsidDel="00000000" w:rsidR="00000000" w:rsidRPr="00000000">
              <w:rPr>
                <w:rFonts w:ascii="Arial" w:cs="Arial" w:eastAsia="Arial" w:hAnsi="Arial"/>
                <w:sz w:val="24"/>
                <w:szCs w:val="24"/>
                <w:rtl w:val="0"/>
              </w:rPr>
              <w:t xml:space="preserve">% de solicitudes de IVE atendidas sin requisitos no contemplados en la normativa (sin junta médica innecesaria, sin denuncia para causal de violencia, sin autorización de pareja) sobre el total de solicitudes recibidas</w:t>
            </w:r>
          </w:p>
        </w:tc>
        <w:tc>
          <w:tcPr/>
          <w:p w:rsidR="00000000" w:rsidDel="00000000" w:rsidP="00000000" w:rsidRDefault="00000000" w:rsidRPr="00000000" w14:paraId="0000008E">
            <w:pPr>
              <w:rPr>
                <w:rFonts w:ascii="Arial" w:cs="Arial" w:eastAsia="Arial" w:hAnsi="Arial"/>
                <w:sz w:val="24"/>
                <w:szCs w:val="24"/>
              </w:rPr>
            </w:pPr>
            <w:r w:rsidDel="00000000" w:rsidR="00000000" w:rsidRPr="00000000">
              <w:rPr>
                <w:rFonts w:ascii="Arial" w:cs="Arial" w:eastAsia="Arial" w:hAnsi="Arial"/>
                <w:sz w:val="24"/>
                <w:szCs w:val="24"/>
                <w:rtl w:val="0"/>
              </w:rPr>
              <w:t xml:space="preserve">100 %</w:t>
            </w:r>
          </w:p>
        </w:tc>
      </w:tr>
      <w:tr>
        <w:trPr>
          <w:cantSplit w:val="0"/>
          <w:tblHeader w:val="0"/>
        </w:trPr>
        <w:tc>
          <w:tcPr/>
          <w:p w:rsidR="00000000" w:rsidDel="00000000" w:rsidP="00000000" w:rsidRDefault="00000000" w:rsidRPr="00000000" w14:paraId="0000008F">
            <w:pPr>
              <w:rPr>
                <w:rFonts w:ascii="Arial" w:cs="Arial" w:eastAsia="Arial" w:hAnsi="Arial"/>
                <w:sz w:val="24"/>
                <w:szCs w:val="24"/>
              </w:rPr>
            </w:pPr>
            <w:r w:rsidDel="00000000" w:rsidR="00000000" w:rsidRPr="00000000">
              <w:rPr>
                <w:rFonts w:ascii="Arial" w:cs="Arial" w:eastAsia="Arial" w:hAnsi="Arial"/>
                <w:sz w:val="24"/>
                <w:szCs w:val="24"/>
                <w:rtl w:val="0"/>
              </w:rPr>
              <w:t xml:space="preserve">Detección y manejo de complicaciones</w:t>
            </w:r>
          </w:p>
        </w:tc>
        <w:tc>
          <w:tcPr/>
          <w:p w:rsidR="00000000" w:rsidDel="00000000" w:rsidP="00000000" w:rsidRDefault="00000000" w:rsidRPr="00000000" w14:paraId="00000090">
            <w:pPr>
              <w:rPr>
                <w:rFonts w:ascii="Arial" w:cs="Arial" w:eastAsia="Arial" w:hAnsi="Arial"/>
                <w:sz w:val="24"/>
                <w:szCs w:val="24"/>
              </w:rPr>
            </w:pPr>
            <w:r w:rsidDel="00000000" w:rsidR="00000000" w:rsidRPr="00000000">
              <w:rPr>
                <w:rFonts w:ascii="Arial" w:cs="Arial" w:eastAsia="Arial" w:hAnsi="Arial"/>
                <w:sz w:val="24"/>
                <w:szCs w:val="24"/>
                <w:rtl w:val="0"/>
              </w:rPr>
              <w:t xml:space="preserve">% de complicaciones post-IVE (sangrado severo, infección, IVE incompleta) identificadas durante el seguimiento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sobre el total de IVE realizadas</w:t>
            </w:r>
          </w:p>
        </w:tc>
        <w:tc>
          <w:tcPr/>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sz w:val="24"/>
                <w:szCs w:val="24"/>
                <w:rtl w:val="0"/>
              </w:rPr>
              <w:t xml:space="preserve">[VERIFICAR — línea de base institucional]</w:t>
            </w:r>
          </w:p>
        </w:tc>
      </w:tr>
      <w:tr>
        <w:trPr>
          <w:cantSplit w:val="0"/>
          <w:tblHeader w:val="0"/>
        </w:trPr>
        <w:tc>
          <w:tcPr/>
          <w:p w:rsidR="00000000" w:rsidDel="00000000" w:rsidP="00000000" w:rsidRDefault="00000000" w:rsidRPr="00000000" w14:paraId="00000092">
            <w:pPr>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 acompañamiento emocional ofertado</w:t>
            </w:r>
          </w:p>
        </w:tc>
        <w:tc>
          <w:tcPr/>
          <w:p w:rsidR="00000000" w:rsidDel="00000000" w:rsidP="00000000" w:rsidRDefault="00000000" w:rsidRPr="00000000" w14:paraId="00000093">
            <w:pPr>
              <w:rPr>
                <w:rFonts w:ascii="Arial" w:cs="Arial" w:eastAsia="Arial" w:hAnsi="Arial"/>
                <w:sz w:val="24"/>
                <w:szCs w:val="24"/>
              </w:rPr>
            </w:pPr>
            <w:r w:rsidDel="00000000" w:rsidR="00000000" w:rsidRPr="00000000">
              <w:rPr>
                <w:rFonts w:ascii="Arial" w:cs="Arial" w:eastAsia="Arial" w:hAnsi="Arial"/>
                <w:sz w:val="24"/>
                <w:szCs w:val="24"/>
                <w:rtl w:val="0"/>
              </w:rPr>
              <w:t xml:space="preserve">% de mujeres con IVE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a quienes se ofreció acompañamiento emocional o derivación a psicología durante la consulta sobre el total de IVE atendidas</w:t>
            </w:r>
          </w:p>
        </w:tc>
        <w:tc>
          <w:tcPr/>
          <w:p w:rsidR="00000000" w:rsidDel="00000000" w:rsidP="00000000" w:rsidRDefault="00000000" w:rsidRPr="00000000" w14:paraId="00000094">
            <w:pPr>
              <w:rPr>
                <w:rFonts w:ascii="Arial" w:cs="Arial" w:eastAsia="Arial" w:hAnsi="Arial"/>
                <w:sz w:val="24"/>
                <w:szCs w:val="24"/>
              </w:rPr>
            </w:pPr>
            <w:r w:rsidDel="00000000" w:rsidR="00000000" w:rsidRPr="00000000">
              <w:rPr>
                <w:rFonts w:ascii="Arial" w:cs="Arial" w:eastAsia="Arial" w:hAnsi="Arial"/>
                <w:sz w:val="24"/>
                <w:szCs w:val="24"/>
                <w:rtl w:val="0"/>
              </w:rPr>
              <w:t xml:space="preserve">100 %</w:t>
            </w:r>
          </w:p>
        </w:tc>
      </w:tr>
      <w:tr>
        <w:trPr>
          <w:cantSplit w:val="0"/>
          <w:tblHeader w:val="0"/>
        </w:trPr>
        <w:tc>
          <w:tcPr/>
          <w:p w:rsidR="00000000" w:rsidDel="00000000" w:rsidP="00000000" w:rsidRDefault="00000000" w:rsidRPr="00000000" w14:paraId="00000095">
            <w:pPr>
              <w:rPr>
                <w:rFonts w:ascii="Arial" w:cs="Arial" w:eastAsia="Arial" w:hAnsi="Arial"/>
                <w:sz w:val="24"/>
                <w:szCs w:val="24"/>
              </w:rPr>
            </w:pPr>
            <w:r w:rsidDel="00000000" w:rsidR="00000000" w:rsidRPr="00000000">
              <w:rPr>
                <w:rFonts w:ascii="Arial" w:cs="Arial" w:eastAsia="Arial" w:hAnsi="Arial"/>
                <w:sz w:val="24"/>
                <w:szCs w:val="24"/>
                <w:rtl w:val="0"/>
              </w:rPr>
              <w:t xml:space="preserve">Tiempo desde IVE incompleta hasta AMEU de completamiento</w:t>
            </w:r>
          </w:p>
        </w:tc>
        <w:tc>
          <w:tcPr/>
          <w:p w:rsidR="00000000" w:rsidDel="00000000" w:rsidP="00000000" w:rsidRDefault="00000000" w:rsidRPr="00000000" w14:paraId="00000096">
            <w:pPr>
              <w:rPr>
                <w:rFonts w:ascii="Arial" w:cs="Arial" w:eastAsia="Arial" w:hAnsi="Arial"/>
                <w:sz w:val="24"/>
                <w:szCs w:val="24"/>
              </w:rPr>
            </w:pPr>
            <w:r w:rsidDel="00000000" w:rsidR="00000000" w:rsidRPr="00000000">
              <w:rPr>
                <w:rFonts w:ascii="Arial" w:cs="Arial" w:eastAsia="Arial" w:hAnsi="Arial"/>
                <w:sz w:val="24"/>
                <w:szCs w:val="24"/>
                <w:rtl w:val="0"/>
              </w:rPr>
              <w:t xml:space="preserve">% de casos de IVE incompleta sin urgencia con AMEU de completamiento realizada en &lt; 5 días hábiles sobre el total de IVE incompletas identificadas</w:t>
            </w:r>
          </w:p>
        </w:tc>
        <w:tc>
          <w:tcPr/>
          <w:p w:rsidR="00000000" w:rsidDel="00000000" w:rsidP="00000000" w:rsidRDefault="00000000" w:rsidRPr="00000000" w14:paraId="00000097">
            <w:pPr>
              <w:rPr>
                <w:rFonts w:ascii="Arial" w:cs="Arial" w:eastAsia="Arial" w:hAnsi="Arial"/>
                <w:sz w:val="24"/>
                <w:szCs w:val="24"/>
              </w:rPr>
            </w:pPr>
            <w:sdt>
              <w:sdtPr>
                <w:id w:val="-854183098"/>
                <w:tag w:val="goog_rdk_6"/>
              </w:sdtPr>
              <w:sdtContent>
                <w:r w:rsidDel="00000000" w:rsidR="00000000" w:rsidRPr="00000000">
                  <w:rPr>
                    <w:rFonts w:ascii="Arial Unicode MS" w:cs="Arial Unicode MS" w:eastAsia="Arial Unicode MS" w:hAnsi="Arial Unicode MS"/>
                    <w:sz w:val="24"/>
                    <w:szCs w:val="24"/>
                    <w:rtl w:val="0"/>
                  </w:rPr>
                  <w:t xml:space="preserve">≥ 90 %</w:t>
                </w:r>
              </w:sdtContent>
            </w:sdt>
          </w:p>
        </w:tc>
      </w:tr>
    </w:tbl>
    <w:p w:rsidR="00000000" w:rsidDel="00000000" w:rsidP="00000000" w:rsidRDefault="00000000" w:rsidRPr="00000000" w14:paraId="00000098">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13. Bibliografía</w:t>
      </w:r>
    </w:p>
    <w:p w:rsidR="00000000" w:rsidDel="00000000" w:rsidP="00000000" w:rsidRDefault="00000000" w:rsidRPr="00000000" w14:paraId="00000099">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Corte Constitucional de Colombia. Sentencia C-355 de 2006. Despenalización del aborto en tres causales. Bogotá: Corte Constitucional; 2006.</w:t>
      </w:r>
    </w:p>
    <w:p w:rsidR="00000000" w:rsidDel="00000000" w:rsidP="00000000" w:rsidRDefault="00000000" w:rsidRPr="00000000" w14:paraId="0000009A">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Corte Constitucional de Colombia. Sentencia C-055 de 2022. Despenalización de la IVE hasta la semana 24 de gestación. Bogotá: Corte Constitucional; 2022.</w:t>
      </w:r>
    </w:p>
    <w:p w:rsidR="00000000" w:rsidDel="00000000" w:rsidP="00000000" w:rsidRDefault="00000000" w:rsidRPr="00000000" w14:paraId="0000009B">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Corte Constitucional de Colombia. Sentencia T-388 de 2009. Obligatoriedad de la atención de IVE sin dilaciones. Bogotá: Corte Constitucional; 2009.</w:t>
      </w:r>
    </w:p>
    <w:p w:rsidR="00000000" w:rsidDel="00000000" w:rsidP="00000000" w:rsidRDefault="00000000" w:rsidRPr="00000000" w14:paraId="0000009C">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Ministerio de Salud y Protección Social de Colombia. Resolución 051 de 2023: lineamientos para la atención de la IVE sin barreras en Colombia. Bogotá: MinSalud; 2023.</w:t>
      </w:r>
    </w:p>
    <w:p w:rsidR="00000000" w:rsidDel="00000000" w:rsidP="00000000" w:rsidRDefault="00000000" w:rsidRPr="00000000" w14:paraId="0000009D">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Ministerio de Salud y Protección Social de Colombia. Resolución 2654 de 2019: disposiciones para la telesalud y parámetros para la práctica de la telemedicina en Colombia. Bogotá: MinSalud; 2019.</w:t>
      </w:r>
    </w:p>
    <w:p w:rsidR="00000000" w:rsidDel="00000000" w:rsidP="00000000" w:rsidRDefault="00000000" w:rsidRPr="00000000" w14:paraId="0000009E">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Organización Mundial de la Salud. Abortion care guideline. Ginebra: OMS; 2022.</w:t>
      </w:r>
    </w:p>
    <w:p w:rsidR="00000000" w:rsidDel="00000000" w:rsidP="00000000" w:rsidRDefault="00000000" w:rsidRPr="00000000" w14:paraId="0000009F">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 Organización Mundial de la Salud. Medical management of abortion. Ginebra: OMS; 2018.</w:t>
      </w:r>
    </w:p>
    <w:p w:rsidR="00000000" w:rsidDel="00000000" w:rsidP="00000000" w:rsidRDefault="00000000" w:rsidRPr="00000000" w14:paraId="000000A0">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 American College of Obstetricians and Gynecologists (ACOG). Medication Abortion Up to 70 Days of Gestation: ACOG Practice Bulletin, Number 225. Obstet Gynecol. 2020;136(4):e31-e47.</w:t>
      </w:r>
    </w:p>
    <w:p w:rsidR="00000000" w:rsidDel="00000000" w:rsidP="00000000" w:rsidRDefault="00000000" w:rsidRPr="00000000" w14:paraId="000000A1">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 Federación Internacional de Ginecología y Obstetricia (FIGO). Optimizing abortion care. Best Practice Paper Number 8. FIGO; 2022.</w:t>
      </w:r>
    </w:p>
    <w:p w:rsidR="00000000" w:rsidDel="00000000" w:rsidP="00000000" w:rsidRDefault="00000000" w:rsidRPr="00000000" w14:paraId="000000A2">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 Raymond EG, Grossman D, Wiebe E, Winikoff B. Efficacy of no-test medical abortion with mifepristone and misoprostol through 70 gestational days. Contraception. 2019;100(2):167-171.</w:t>
      </w:r>
    </w:p>
    <w:p w:rsidR="00000000" w:rsidDel="00000000" w:rsidP="00000000" w:rsidRDefault="00000000" w:rsidRPr="00000000" w14:paraId="000000A3">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 Ministerio de Salud y Protección Social de Colombia. Ley 1581 de 2012: protección de datos personales. Bogotá: MinSalud; 2012.</w:t>
      </w:r>
    </w:p>
    <w:p w:rsidR="00000000" w:rsidDel="00000000" w:rsidP="00000000" w:rsidRDefault="00000000" w:rsidRPr="00000000" w14:paraId="000000A4">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 Ministerio de Salud y Protección Social de Colombia. Ley 1419 de 2010: lineamientos para el desarrollo de la Telesalud en Colombia. Bogotá: MinSalud; 2010.</w:t>
      </w:r>
    </w:p>
    <w:p w:rsidR="00000000" w:rsidDel="00000000" w:rsidP="00000000" w:rsidRDefault="00000000" w:rsidRPr="00000000" w14:paraId="000000A5">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 Responsables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REALIZA: Dauris Lineth Mejía Pérez.</w:t>
      </w:r>
      <w:r w:rsidDel="00000000" w:rsidR="00000000" w:rsidRPr="00000000">
        <w:rPr>
          <w:rtl w:val="0"/>
        </w:rPr>
      </w:r>
    </w:p>
    <w:p w:rsidR="00000000" w:rsidDel="00000000" w:rsidP="00000000" w:rsidRDefault="00000000" w:rsidRPr="00000000" w14:paraId="000000A8">
      <w:pPr>
        <w:rPr>
          <w:rFonts w:ascii="Arial" w:cs="Arial" w:eastAsia="Arial" w:hAnsi="Arial"/>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AB">
          <w:pPr>
            <w:jc w:val="center"/>
            <w:rPr>
              <w:sz w:val="28"/>
              <w:szCs w:val="28"/>
            </w:rPr>
          </w:pPr>
          <w:r w:rsidDel="00000000" w:rsidR="00000000" w:rsidRPr="00000000">
            <w:rPr>
              <w:rFonts w:ascii="Arial" w:cs="Arial" w:eastAsia="Arial" w:hAnsi="Arial"/>
              <w:b w:val="1"/>
              <w:bCs w:val="1"/>
              <w:sz w:val="28"/>
              <w:szCs w:val="28"/>
              <w:rtl w:val="0"/>
            </w:rPr>
            <w:t xml:space="preserve">PROTOCOLO DE TELEMEDICINA: INTERRUPCIÓN VOLUNTARIA DEL EMBARAZO (IVE)</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o/YIIBH1S0T2yZDTZ4koHTWmI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IOaC5iczk3c2FuODJlZnM4AHIhMTh0eTZqcnRXR0Z0WXdjQVFHaWhLMHdUT2NvZzdTMz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