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888" w:rsidRPr="00D5755B" w:rsidRDefault="00945888" w:rsidP="00945888">
      <w:pPr>
        <w:rPr>
          <w:b/>
          <w:sz w:val="24"/>
          <w:szCs w:val="24"/>
        </w:rPr>
      </w:pPr>
    </w:p>
    <w:p w:rsidR="00945888" w:rsidRPr="00D5755B" w:rsidRDefault="00945888" w:rsidP="00945888">
      <w:pPr>
        <w:rPr>
          <w:b/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Introducción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La anemia es la alteración hematológica más frecuente en la infancia a nivel mundial y en Colombia. Según la Encuesta Nacional de Situación Nutricional (ENSIN 2015), el 24,7% de los niños colombianos entre 6 meses y 5 años presenta anemia, con prevalencias superiores al 60% en niños entre 6 y 11 meses. La anemia ferropénica —por deficiencia de hierro— constituye el 50–80% de todos los casos en pediatría y es la principal causa prevenible de deterioro cognitivo, retraso del desarrollo psicomotor y disminución de la capacidad de aprendizaje escolar.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Las zonas rurales remotas, los municipios PDET y los territorios afectados por el conflicto armado concentran las mayores brechas de acceso a diagnóstico y tratamiento oportuno. El presente protocolo, provee los lineamientos clínicos para el diagnóstico diferencial, el manejo de la anemia ferropénica según el lineamiento MinSalud y la remisión oportuna, con soporte de teleexperticia pediátrica.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Objetivo General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Estandarizar el abordaje diagnóstico y terapéutico de la anemia en pediatría en el nivel de atención primaria de zonas rurales remotas y territorios afectados por el conflicto armado en Colombia, con énfasis en la detección oportuna y el manejo de la anemia ferropénica según el lineamiento del Ministerio de Salud de Colombia, el diagnóstico diferencial morfológico y la remisión oportuna a pediatría cuando se sospechen causas secundarias, mediante el soporte de teleexperticia del Hospital Universitario Nacional.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Objetivos Específicos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Proporcionar al médico general los valores de referencia de hemoglobina por edad para el diagnóstico de anemia según el lineamiento vigente del Ministerio de Salud de Colombia.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Establecer la clasificación morfológica de la anemia (VCM bajo, normal o alto) como herramienta de diagnóstico diferencial accesible desde el hemograma básico.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Proveer un cuadro diferencial estructurado según el tipo morfológico de anemia y sus causas más frecuentes en pediatría.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Identificar oportunamente las señales de alarma oncológica que obligan a remisión urgente a urgencias antes de iniciar cualquier tratamiento.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Estandarizar el manejo de la anemia ferropénica con prueba terapéutica de sulfato ferroso (3 mg/kg/día), control al mes para verificar ascenso de Hb ≥ 1 g/dL y control a los 3 meses con ferritina.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Definir los criterios de remisión urgente y diferida al pediatra experto del HUN a través del servicio de teleexperticia.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Alcance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El presente protocolo aplica a médicos generales, médicos rurales y personal de salud del nivel primario de atención, para la evaluación y manejo de anemia en pacientes pediátricos desde los 6 meses de vida hasta los 18 años. Cubre el período de lactancia, la primera infancia, la infancia escolar y la adolescencia. No aplica para neonatos (período neonatal &lt; 28 días de vida) ni para pacientes con diagnóstico oncológico establecido.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Marco Normativo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Resolución 2654 de 2019:</w:t>
      </w:r>
      <w:r w:rsidRPr="00D5755B">
        <w:rPr>
          <w:color w:val="1A1A1A"/>
          <w:sz w:val="24"/>
          <w:szCs w:val="24"/>
        </w:rPr>
        <w:t xml:space="preserve"> Regula la telesalud y telemedicina en Colombia.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Resolución 3100 de 2019:</w:t>
      </w:r>
      <w:r w:rsidRPr="00D5755B">
        <w:rPr>
          <w:color w:val="1A1A1A"/>
          <w:sz w:val="24"/>
          <w:szCs w:val="24"/>
        </w:rPr>
        <w:t xml:space="preserve"> Define los estándares de habilitación en salud.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Ley 1419 de 2010:</w:t>
      </w:r>
      <w:r w:rsidRPr="00D5755B">
        <w:rPr>
          <w:color w:val="1A1A1A"/>
          <w:sz w:val="24"/>
          <w:szCs w:val="24"/>
        </w:rPr>
        <w:t xml:space="preserve"> Telemedicina en Colombia.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Ley 1581 de 2012:</w:t>
      </w:r>
      <w:r w:rsidRPr="00D5755B">
        <w:rPr>
          <w:color w:val="1A1A1A"/>
          <w:sz w:val="24"/>
          <w:szCs w:val="24"/>
        </w:rPr>
        <w:t xml:space="preserve"> Protección de Datos Personales.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Decreto 538 de 2020:</w:t>
      </w:r>
      <w:r w:rsidRPr="00D5755B">
        <w:rPr>
          <w:color w:val="1A1A1A"/>
          <w:sz w:val="24"/>
          <w:szCs w:val="24"/>
        </w:rPr>
        <w:t xml:space="preserve"> Medidas de Telemedicina para emergencias sanitarias.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Guías Ministerio de Salud y Protección Social en Telesalud.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Normas específicas que soportan este protocolo clínico: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Ministerio de Salud de Colombia — Herramienta Clínica Primera Infancia, Módulo 10 / Estrategia AIEPI vigente:</w:t>
      </w:r>
      <w:r w:rsidRPr="00D5755B">
        <w:rPr>
          <w:color w:val="1A1A1A"/>
          <w:sz w:val="24"/>
          <w:szCs w:val="24"/>
        </w:rPr>
        <w:t xml:space="preserve"> Define anemia en niños 6 m–5 años con Hb &lt; 11 g/dL. Establece la prueba terapéutica con sulfato ferroso 3 mg/kg/día como estrategia de diagnóstico y tratamiento en el nivel primario.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ABC de Micronutrientes — MinSalud / ICBF (vigente):</w:t>
      </w:r>
      <w:r w:rsidRPr="00D5755B">
        <w:rPr>
          <w:color w:val="1A1A1A"/>
          <w:sz w:val="24"/>
          <w:szCs w:val="24"/>
        </w:rPr>
        <w:t xml:space="preserve"> Establece el sulfato ferroso como tratamiento de elección para anemia ferropénica en el nivel primario.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Resolución 3280 de 2018 (MinSalud):</w:t>
      </w:r>
      <w:r w:rsidRPr="00D5755B">
        <w:rPr>
          <w:color w:val="1A1A1A"/>
          <w:sz w:val="24"/>
          <w:szCs w:val="24"/>
        </w:rPr>
        <w:t xml:space="preserve"> Ruta Integral de Atención Materno Perinatal; tamización de anemia en controles de CyD.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Plan Decenal de Salud Pública 2022–2031:</w:t>
      </w:r>
      <w:r w:rsidRPr="00D5755B">
        <w:rPr>
          <w:color w:val="1A1A1A"/>
          <w:sz w:val="24"/>
          <w:szCs w:val="24"/>
        </w:rPr>
        <w:t xml:space="preserve"> Reducción de anemia en menores de 5 años como indicador de resultado.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Definiciones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Telesalud: </w:t>
      </w:r>
      <w:r w:rsidRPr="00D5755B">
        <w:rPr>
          <w:color w:val="1A1A1A"/>
          <w:sz w:val="24"/>
          <w:szCs w:val="24"/>
        </w:rPr>
        <w:t>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Teleapoyo: </w:t>
      </w:r>
      <w:r w:rsidRPr="00D5755B">
        <w:rPr>
          <w:color w:val="1A1A1A"/>
          <w:sz w:val="24"/>
          <w:szCs w:val="24"/>
        </w:rPr>
        <w:t>Soporte solicitado por un profesional de la salud a otro profesional de la salud a través de tecnologías de la información y comunicaciones en el marco del relacionamiento entre instituciones prestadoras de servicios de salud.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Teleexperticia: </w:t>
      </w:r>
      <w:r w:rsidRPr="00D5755B">
        <w:rPr>
          <w:color w:val="1A1A1A"/>
          <w:sz w:val="24"/>
          <w:szCs w:val="24"/>
        </w:rPr>
        <w:t>Es la relación a distancia con método de comunicación sincrónico o asincrónico para la provisión de servicios de salud en cualquiera de sus componentes, utilizando tecnologías de información y comunicación entre: a) Dos profesionales de la salud, uno de los cuales atiende presencialmente al usuario y otro atiende a distancia; b) Profesionales de la salud que en junta médica realizan una interconsulta o una asesoría; c) Personal de salud no profesional que solicita el apoyo de un profesional de la salud para la toma de decisiones.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Anemia: </w:t>
      </w:r>
      <w:r w:rsidRPr="00D5755B">
        <w:rPr>
          <w:color w:val="1A1A1A"/>
          <w:sz w:val="24"/>
          <w:szCs w:val="24"/>
        </w:rPr>
        <w:t>Concentración de hemoglobina por debajo del punto de corte para la edad. MinSalud Colombia: Hb &lt; 11 g/dL en niños 6 m–5 años. Nota OMS 2024: &lt; 10.5 g/dL en 6–23 meses (aún no adoptado formalmente en Colombia).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Anemia ferropénica: </w:t>
      </w:r>
      <w:r w:rsidRPr="00D5755B">
        <w:rPr>
          <w:color w:val="1A1A1A"/>
          <w:sz w:val="24"/>
          <w:szCs w:val="24"/>
        </w:rPr>
        <w:t>Anemia causada por deficiencia de hierro, caracterizada por VCM bajo para la edad, HCM disminuida y ADE/RDW elevado. Causa el 50–80% de las anemias en pediatría.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Prueba terapéutica: </w:t>
      </w:r>
      <w:r w:rsidRPr="00D5755B">
        <w:rPr>
          <w:color w:val="1A1A1A"/>
          <w:sz w:val="24"/>
          <w:szCs w:val="24"/>
        </w:rPr>
        <w:t>Estrategia diagnóstica y terapéutica del MinSalud Colombia: administrar sulfato ferroso a 3 mg/kg/día y verificar ascenso de Hb ≥ 1 g/dL al mes. Un ascenso confirma el diagnóstico de anemia ferropénica.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VCM (Volumen Corpuscular Medio): </w:t>
      </w:r>
      <w:r w:rsidRPr="00D5755B">
        <w:rPr>
          <w:color w:val="1A1A1A"/>
          <w:sz w:val="24"/>
          <w:szCs w:val="24"/>
        </w:rPr>
        <w:t>Parámetro del hemograma que refleja el tamaño promedio de los eritrocitos. Sus valores normales varían por edad; se interpreta como bajo, normal o alto según el reporte del laboratorio. VCM bajo = microcítica; VCM normal = normocítica; VCM alto = macrocítica.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ADE / RDW (Amplitud de Distribución Eritrocitaria): </w:t>
      </w:r>
      <w:r w:rsidRPr="00D5755B">
        <w:rPr>
          <w:color w:val="1A1A1A"/>
          <w:sz w:val="24"/>
          <w:szCs w:val="24"/>
        </w:rPr>
        <w:t>ADE elevado (&gt; 14–15%) sugiere anemia ferropénica. ADE normal orienta hacia talasemia o anemia de enfermedad crónica.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Ferritina sérica: </w:t>
      </w:r>
      <w:r w:rsidRPr="00D5755B">
        <w:rPr>
          <w:color w:val="1A1A1A"/>
          <w:sz w:val="24"/>
          <w:szCs w:val="24"/>
        </w:rPr>
        <w:t>Proteína de almacenamiento de hierro. Ferritina &lt; 12 ng/mL (&lt; 5 años) o &lt; 15 ng/mL (≥ 5 años) indica deficiencia. Puede estar falsamente elevada en inflamación activa. No es obligatoria para iniciar prueba terapéutica en zonas sin laboratorio.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 xml:space="preserve">Señal de alarma oncológica: </w:t>
      </w:r>
      <w:r w:rsidRPr="00D5755B">
        <w:rPr>
          <w:color w:val="1A1A1A"/>
          <w:sz w:val="24"/>
          <w:szCs w:val="24"/>
        </w:rPr>
        <w:t>Hallazgo que obliga remisión urgente a urgencias: pancitopenia, adenopatías inexplicadas, hepatoesplenomegalia, fiebre prolongada sin foco, masa abdominal, pérdida de peso involuntaria.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Marco Teórico y Diagnóstico Diferencial</w:t>
      </w:r>
    </w:p>
    <w:p w:rsidR="00497E5D" w:rsidRPr="00D5755B" w:rsidRDefault="000A021E">
      <w:pPr>
        <w:pBdr>
          <w:bottom w:val="single" w:sz="2" w:space="2" w:color="AED6F1"/>
        </w:pBdr>
        <w:spacing w:before="140" w:after="60"/>
        <w:rPr>
          <w:sz w:val="24"/>
          <w:szCs w:val="24"/>
        </w:rPr>
      </w:pPr>
      <w:r w:rsidRPr="00D5755B">
        <w:rPr>
          <w:b/>
          <w:bCs/>
          <w:color w:val="1A5276"/>
          <w:sz w:val="24"/>
          <w:szCs w:val="24"/>
        </w:rPr>
        <w:t>Puntos de corte de hemoglobina — MinSalud Colombia (lineamiento vigente)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497E5D" w:rsidRPr="00D5755B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60"/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Diagnóstico de anemia según lineamiento MinSalud Colombia / OMS vigente: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226"/>
            </w:tblGrid>
            <w:tr w:rsidR="00497E5D" w:rsidRPr="00D5755B">
              <w:tc>
                <w:tcPr>
                  <w:tcW w:w="2800" w:type="dxa"/>
                  <w:tcBorders>
                    <w:top w:val="single" w:sz="6" w:space="0" w:color="1A5276"/>
                    <w:left w:val="single" w:sz="6" w:space="0" w:color="1A5276"/>
                    <w:bottom w:val="single" w:sz="6" w:space="0" w:color="1A5276"/>
                    <w:right w:val="single" w:sz="6" w:space="0" w:color="1A5276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FFFFFF"/>
                      <w:sz w:val="24"/>
                      <w:szCs w:val="24"/>
                    </w:rPr>
                    <w:t>Grupo de edad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D6EAF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5276"/>
                      <w:sz w:val="24"/>
                      <w:szCs w:val="24"/>
                    </w:rPr>
                    <w:t>Punto de corte Hb (g/dL)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6 meses – 5 años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Hb &lt; 11.0 g/dL  (lineamiento MinSalud vigente)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5 – 11 años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Hb &lt; 11.5 g/dL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12 – 14 años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Hb &lt; 12.0 g/dL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≥ 15 años masculino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Hb &lt; 13.0 g/dL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≥ 15 años femenino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Hb &lt; 12.0 g/dL</w:t>
                  </w:r>
                </w:p>
              </w:tc>
            </w:tr>
            <w:tr w:rsidR="00497E5D" w:rsidRPr="00D5755B">
              <w:tc>
                <w:tcPr>
                  <w:tcW w:w="28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Ajuste por altitud</w:t>
                  </w:r>
                </w:p>
              </w:tc>
              <w:tc>
                <w:tcPr>
                  <w:tcW w:w="62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Ciudades &gt; 1500 msnm: aplicar tabla de ajuste altitudinal OMS.</w:t>
                  </w:r>
                </w:p>
              </w:tc>
            </w:tr>
          </w:tbl>
          <w:p w:rsidR="00497E5D" w:rsidRPr="00D5755B" w:rsidRDefault="000A021E">
            <w:pPr>
              <w:spacing w:before="60" w:after="60"/>
              <w:jc w:val="both"/>
              <w:rPr>
                <w:sz w:val="24"/>
                <w:szCs w:val="24"/>
              </w:rPr>
            </w:pPr>
            <w:r w:rsidRPr="00D5755B">
              <w:rPr>
                <w:color w:val="7D6608"/>
                <w:sz w:val="24"/>
                <w:szCs w:val="24"/>
              </w:rPr>
              <w:t>Nota OMS 2024: revisó el umbral para niños 6–23 meses a Hb &lt; 10.5 g/dL. Este protocolo se adhiere al criterio nacional (Hb &lt; 11 g/dL) e informa la actualización internacional.</w:t>
            </w:r>
          </w:p>
          <w:p w:rsidR="00497E5D" w:rsidRPr="00D5755B" w:rsidRDefault="00497E5D">
            <w:pPr>
              <w:spacing w:before="30" w:after="30"/>
              <w:rPr>
                <w:sz w:val="24"/>
                <w:szCs w:val="24"/>
              </w:rPr>
            </w:pPr>
          </w:p>
          <w:p w:rsidR="00497E5D" w:rsidRPr="00D5755B" w:rsidRDefault="000A021E">
            <w:pPr>
              <w:spacing w:before="60" w:after="60"/>
              <w:jc w:val="both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1A1A"/>
                <w:sz w:val="24"/>
                <w:szCs w:val="24"/>
              </w:rPr>
              <w:t>Severidad: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6826"/>
            </w:tblGrid>
            <w:tr w:rsidR="00497E5D" w:rsidRPr="00D5755B">
              <w:tc>
                <w:tcPr>
                  <w:tcW w:w="2200" w:type="dxa"/>
                  <w:tcBorders>
                    <w:top w:val="single" w:sz="6" w:space="0" w:color="1A5276"/>
                    <w:left w:val="single" w:sz="6" w:space="0" w:color="1A5276"/>
                    <w:bottom w:val="single" w:sz="6" w:space="0" w:color="1A5276"/>
                    <w:right w:val="single" w:sz="6" w:space="0" w:color="1A5276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FFFFFF"/>
                      <w:sz w:val="24"/>
                      <w:szCs w:val="24"/>
                    </w:rPr>
                    <w:t>Severidad</w:t>
                  </w:r>
                </w:p>
              </w:tc>
              <w:tc>
                <w:tcPr>
                  <w:tcW w:w="68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D6EAF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5276"/>
                      <w:sz w:val="24"/>
                      <w:szCs w:val="24"/>
                    </w:rPr>
                    <w:t>Hemoglobina</w:t>
                  </w:r>
                </w:p>
              </w:tc>
            </w:tr>
            <w:tr w:rsidR="00497E5D" w:rsidRPr="00D5755B">
              <w:tc>
                <w:tcPr>
                  <w:tcW w:w="22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Leve</w:t>
                  </w:r>
                </w:p>
              </w:tc>
              <w:tc>
                <w:tcPr>
                  <w:tcW w:w="68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10.0 – 10.9 g/dL</w:t>
                  </w:r>
                </w:p>
              </w:tc>
            </w:tr>
            <w:tr w:rsidR="00497E5D" w:rsidRPr="00D5755B">
              <w:tc>
                <w:tcPr>
                  <w:tcW w:w="22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lastRenderedPageBreak/>
                    <w:t>Moderada</w:t>
                  </w:r>
                </w:p>
              </w:tc>
              <w:tc>
                <w:tcPr>
                  <w:tcW w:w="68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7.0 – 9.9 g/dL</w:t>
                  </w:r>
                </w:p>
              </w:tc>
            </w:tr>
            <w:tr w:rsidR="00497E5D" w:rsidRPr="00D5755B">
              <w:tc>
                <w:tcPr>
                  <w:tcW w:w="2200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497E5D" w:rsidRPr="00D5755B" w:rsidRDefault="000A021E">
                  <w:pPr>
                    <w:rPr>
                      <w:sz w:val="24"/>
                      <w:szCs w:val="24"/>
                    </w:rPr>
                  </w:pPr>
                  <w:r w:rsidRPr="00D5755B">
                    <w:rPr>
                      <w:b/>
                      <w:bCs/>
                      <w:color w:val="1A5276"/>
                      <w:sz w:val="24"/>
                      <w:szCs w:val="24"/>
                    </w:rPr>
                    <w:t>Grave</w:t>
                  </w:r>
                </w:p>
              </w:tc>
              <w:tc>
                <w:tcPr>
                  <w:tcW w:w="6826" w:type="dxa"/>
                  <w:tcBorders>
                    <w:top w:val="single" w:sz="3" w:space="0" w:color="AAAAAA"/>
                    <w:left w:val="single" w:sz="3" w:space="0" w:color="AAAAAA"/>
                    <w:bottom w:val="single" w:sz="3" w:space="0" w:color="AAAAAA"/>
                    <w:right w:val="single" w:sz="3" w:space="0" w:color="AAAAAA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97E5D" w:rsidRPr="00D5755B" w:rsidRDefault="000A021E">
                  <w:pPr>
                    <w:jc w:val="both"/>
                    <w:rPr>
                      <w:sz w:val="24"/>
                      <w:szCs w:val="24"/>
                    </w:rPr>
                  </w:pPr>
                  <w:r w:rsidRPr="00D5755B">
                    <w:rPr>
                      <w:color w:val="1A1A1A"/>
                      <w:sz w:val="24"/>
                      <w:szCs w:val="24"/>
                    </w:rPr>
                    <w:t>&lt; 7.0 g/dL → valoración urgente</w:t>
                  </w:r>
                </w:p>
              </w:tc>
            </w:tr>
          </w:tbl>
          <w:p w:rsidR="00497E5D" w:rsidRPr="00D5755B" w:rsidRDefault="00497E5D">
            <w:pPr>
              <w:rPr>
                <w:sz w:val="24"/>
                <w:szCs w:val="24"/>
              </w:rPr>
            </w:pP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pBdr>
          <w:bottom w:val="single" w:sz="2" w:space="2" w:color="AED6F1"/>
        </w:pBdr>
        <w:spacing w:before="140" w:after="60"/>
        <w:rPr>
          <w:sz w:val="24"/>
          <w:szCs w:val="24"/>
        </w:rPr>
      </w:pPr>
      <w:r w:rsidRPr="00D5755B">
        <w:rPr>
          <w:b/>
          <w:bCs/>
          <w:color w:val="1A5276"/>
          <w:sz w:val="24"/>
          <w:szCs w:val="24"/>
        </w:rPr>
        <w:t>Clasificación morfológica y diagnóstico diferencial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El VCM del hemograma permite clasificar la anemia morfológicamente. Sus valores normales varían por edad; el médico debe interpretar: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Anemia microcítica (VCM BAJO):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400"/>
        <w:gridCol w:w="2526"/>
      </w:tblGrid>
      <w:tr w:rsidR="00497E5D" w:rsidRPr="00D5755B">
        <w:tc>
          <w:tcPr>
            <w:tcW w:w="17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Causa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Laboratorio clave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Clínica orientadora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Manejo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Anemia ferropénica (</w:t>
            </w:r>
            <w:r w:rsidRPr="00D5755B">
              <w:rPr>
                <w:rFonts w:ascii="Segoe UI Symbol" w:hAnsi="Segoe UI Symbol" w:cs="Segoe UI Symbol"/>
                <w:b/>
                <w:bCs/>
                <w:color w:val="1A5276"/>
                <w:sz w:val="24"/>
                <w:szCs w:val="24"/>
              </w:rPr>
              <w:t>★</w:t>
            </w:r>
            <w:r w:rsidRPr="00D5755B">
              <w:rPr>
                <w:b/>
                <w:bCs/>
                <w:color w:val="1A5276"/>
                <w:sz w:val="24"/>
                <w:szCs w:val="24"/>
              </w:rPr>
              <w:t xml:space="preserve"> más frecuente)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Ferritina baja · ADE ↑ · VCM bajo · Hierro sérico ↓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&lt; 2 años · dieta pobre · prematurez · parasitosis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Prueba terapéutica sulfato ferroso (ver sección manejo)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Rasgo talasé</w:t>
            </w:r>
            <w:bookmarkStart w:id="0" w:name="_GoBack"/>
            <w:bookmarkEnd w:id="0"/>
            <w:r w:rsidRPr="00D5755B">
              <w:rPr>
                <w:b/>
                <w:bCs/>
                <w:color w:val="1A5276"/>
                <w:sz w:val="24"/>
                <w:szCs w:val="24"/>
              </w:rPr>
              <w:t>mico (β o α)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Ferritina normal · ADE normal · eritrocitosis · HbA2 &gt; 3.5%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Antecedente familiar · afrodescendiente · asintomático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pediatría. No dar hierro si ferritina normal.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Anemia enf. crónica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Ferritina normal o ↑ · hierro sérico ↓ · PCR ↑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Infección crónica · desnutrición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pediatría. Tratar causa.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Intoxicación por plomo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Plumbemia &gt; 5 µg/dL · punteado basófilo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Exposición: pinturas, minas · retraso desarrollo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URGENTE toxicología.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F4321A" w:rsidRPr="00D5755B" w:rsidRDefault="00F4321A">
      <w:pPr>
        <w:spacing w:before="60" w:after="60"/>
        <w:jc w:val="both"/>
        <w:rPr>
          <w:b/>
          <w:bCs/>
          <w:color w:val="1A1A1A"/>
          <w:sz w:val="24"/>
          <w:szCs w:val="24"/>
        </w:rPr>
      </w:pPr>
    </w:p>
    <w:p w:rsidR="00F4321A" w:rsidRPr="00D5755B" w:rsidRDefault="00F4321A">
      <w:pPr>
        <w:spacing w:before="60" w:after="60"/>
        <w:jc w:val="both"/>
        <w:rPr>
          <w:b/>
          <w:bCs/>
          <w:color w:val="1A1A1A"/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Anemia normocítica (VCM NORMAL):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2328"/>
        <w:gridCol w:w="2350"/>
        <w:gridCol w:w="2454"/>
      </w:tblGrid>
      <w:tr w:rsidR="00497E5D" w:rsidRPr="00D5755B">
        <w:tc>
          <w:tcPr>
            <w:tcW w:w="17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Causa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Laboratorio clave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Clínica orientadora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Manejo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Anemia hemolítica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Reticulocitos ↑↑ · Bili indirecta ↑ · LDH ↑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Crisis hemolíticas · ictericia · esplenomegalia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URGENTE en crisis. REMISIÓN hematología.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Anemia aplásica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Pancitopenia · reticulocitos muy bajos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Petequias · infecciones frecuentes · fatigabilidad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URGENTE hematología.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Anemia renal crónica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Hb baja · creatinina ↑ · eritropoyetina ↓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HTA · edemas · historia de nefropatía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nefrología / pediatría.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lastRenderedPageBreak/>
              <w:t>Hipotiroidismo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TSH ↑ · T4L ↓ · anemia leve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Facies hipotiroidea · constipación · retraso escolar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endocrinología pediátrica.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Infección aguda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Reticulocitos normales · PCR ↑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Cuadro infeccioso activo · anemia transitoria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Tratar infección. Reevaluar en 4–6 semanas.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Anemia macrocítica (VCM ALTO):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400"/>
        <w:gridCol w:w="2526"/>
      </w:tblGrid>
      <w:tr w:rsidR="00497E5D" w:rsidRPr="00D5755B">
        <w:tc>
          <w:tcPr>
            <w:tcW w:w="17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Causa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Laboratorio clave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Clínica orientadora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Manejo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Déficit vitamina B12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B12 &lt; 200 pg/mL · neutrófilos hipersegmentados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Madre vegana · malabsorción · signos neurológicos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pediatría. Urgente si síntomas neurológicos.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Déficit ácido fólico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Folato &lt; 3 ng/mL · homocisteína ↑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Dieta restrictiva · anticonvulsivantes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pediatría.</w:t>
            </w:r>
          </w:p>
        </w:tc>
      </w:tr>
      <w:tr w:rsidR="00497E5D" w:rsidRPr="00D5755B">
        <w:tc>
          <w:tcPr>
            <w:tcW w:w="17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Hepatopatía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Transaminasas ↑ · macrocitosis</w:t>
            </w:r>
          </w:p>
        </w:tc>
        <w:tc>
          <w:tcPr>
            <w:tcW w:w="24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Ictericia crónica · hepatomegalia</w:t>
            </w:r>
          </w:p>
        </w:tc>
        <w:tc>
          <w:tcPr>
            <w:tcW w:w="25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gastroenterología pediátrica.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pBdr>
          <w:bottom w:val="single" w:sz="2" w:space="2" w:color="AED6F1"/>
        </w:pBdr>
        <w:spacing w:before="140" w:after="60"/>
        <w:rPr>
          <w:sz w:val="24"/>
          <w:szCs w:val="24"/>
        </w:rPr>
      </w:pPr>
      <w:r w:rsidRPr="00D5755B">
        <w:rPr>
          <w:b/>
          <w:bCs/>
          <w:color w:val="1A5276"/>
          <w:sz w:val="24"/>
          <w:szCs w:val="24"/>
        </w:rPr>
        <w:t>Manejo de la anemia ferropénica — Lineamiento MinSalud Colombia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E8A09A"/>
              <w:left w:val="single" w:sz="6" w:space="0" w:color="E8A09A"/>
              <w:bottom w:val="single" w:sz="6" w:space="0" w:color="E8A09A"/>
              <w:right w:val="single" w:sz="6" w:space="0" w:color="E8A09A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rFonts w:ascii="Segoe UI Symbol" w:hAnsi="Segoe UI Symbol" w:cs="Segoe UI Symbol"/>
                <w:b/>
                <w:bCs/>
                <w:color w:val="922B21"/>
                <w:sz w:val="24"/>
                <w:szCs w:val="24"/>
              </w:rPr>
              <w:t>⚠</w:t>
            </w:r>
            <w:r w:rsidRPr="00D5755B">
              <w:rPr>
                <w:b/>
                <w:bCs/>
                <w:color w:val="922B21"/>
                <w:sz w:val="24"/>
                <w:szCs w:val="24"/>
              </w:rPr>
              <w:t xml:space="preserve"> PRIMERA EVALUACIÓN — Descartar alarma oncológica ANTES de cualquier tratamiento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Pancitopenia · adenopatías inexplicadas · hepatoesplenomegalia · fiebre prolongada sin foco · masa abdominal · pérdida de peso involuntaria.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Si CUALQUIERA presente: REMITIR A URGENCIAS INMEDIATAMENTE. No iniciar hierro. La sospecha de cáncer en niños es siempre una urgencia.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PASO 1 — Prueba terapéutica inicial: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F7DC6F"/>
              <w:left w:val="single" w:sz="6" w:space="0" w:color="F7DC6F"/>
              <w:bottom w:val="single" w:sz="6" w:space="0" w:color="F7DC6F"/>
              <w:right w:val="single" w:sz="6" w:space="0" w:color="F7DC6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7D6608"/>
                <w:sz w:val="24"/>
                <w:szCs w:val="24"/>
              </w:rPr>
              <w:t>Sulfato ferroso oral — dosis terapéutica (MinSalud):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Dosis: 3 mg/kg/día de hierro elemental en 1–2 tomas diarias.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Administración: en ayunas o 30 min antes de las comidas · con vitamina C (jugo naranja/limón).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Anemia grave (Hb &lt; 7 g/dL): considerar 6 mg/kg/día bajo orientación de pediatría.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Evitar con: leche · té · café · calcio · antiácidos (reducen absorción).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Heces oscuras (negro-verdoso): es normal y esperado — advertir a la familia.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En zonas sin laboratorio: NO se requiere ferritina ni reticulocitos para iniciar.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Si hay laboratorio disponible: solicitar ferritina basal desde el inicio para comparar al mes.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PASO 2 — Control al mes (hemograma):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82C9A0"/>
              <w:left w:val="single" w:sz="6" w:space="0" w:color="82C9A0"/>
              <w:bottom w:val="single" w:sz="6" w:space="0" w:color="82C9A0"/>
              <w:right w:val="single" w:sz="6" w:space="0" w:color="82C9A0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E8449"/>
                <w:sz w:val="24"/>
                <w:szCs w:val="24"/>
              </w:rPr>
              <w:t>Verificar respuesta terapéutica a los 30 días: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Respuesta esperada: ascenso de Hb ≥ 1 g/dL respecto al valor inicial. Confirma diagnóstico de anemia ferropénica.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Si ascenso ≥ 1 g/dL: continuar misma dosis (3 mg/kg/día) hasta completar 3 meses desde el inicio.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Si NO hay ascenso ≥ 1 g/dL: evaluar adherencia · descartar malabsorción, parasitosis, talasemia. SOLICITAR TELEEXPERTICIA al HUN.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PASO 3 — Control a los 3 meses (hemograma + ferritina):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Evaluación de reposición de depósitos: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Solicitar: hemograma completo + ferritina sérica.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Hb normalizada Y ferritina &gt; 20–30 ng/mL: SUSPENDER tratamiento. Depósitos repuestos.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Hb normalizada PERO ferritina &lt; 20 ng/mL: continuar hierro 1–3 meses adicionales. Nuevo control ferritina.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Hb no normalizada a los 3 meses: SOLICITAR TELEEXPERTICIA o REMITIR a pediatría.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IMPORTANTE: normalizar la Hb no es el objetivo final. Suspender prematuramente genera recaídas.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Medidas complementarias: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Desparasitación: albendazol 400 mg dosis única (mayores de 2 años) si hay riesgo de parasitosis.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Consejería nutricional: hígado, carne, lentejas con vitamina C en cada comida; reducir leche de vaca a &lt; 500 mL/día en &gt; 12 meses.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Verificar suplementación con vitamina D (400 UI/día en lactantes).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Seguimiento de curva de peso, talla y hitos del desarrollo neurológico en cada control.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Flujo Operativo y Clínico Telesalud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El siguiente flujograma orienta al médico rural en el abordaje diagnóstico y terapéutico de la anemia en pediatría. Se presenta en dos partes para garantizar legibilidad: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center"/>
        <w:rPr>
          <w:sz w:val="24"/>
          <w:szCs w:val="24"/>
        </w:rPr>
      </w:pPr>
      <w:r w:rsidRPr="00D5755B">
        <w:rPr>
          <w:noProof/>
          <w:sz w:val="24"/>
          <w:szCs w:val="24"/>
        </w:rPr>
        <w:lastRenderedPageBreak/>
        <w:drawing>
          <wp:inline distT="0" distB="0" distL="0" distR="0">
            <wp:extent cx="5048250" cy="7639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5D" w:rsidRPr="00D5755B" w:rsidRDefault="000A021E">
      <w:pPr>
        <w:rPr>
          <w:sz w:val="24"/>
          <w:szCs w:val="24"/>
        </w:rPr>
      </w:pPr>
      <w:r w:rsidRPr="00D5755B">
        <w:rPr>
          <w:sz w:val="24"/>
          <w:szCs w:val="24"/>
        </w:rPr>
        <w:br/>
      </w:r>
    </w:p>
    <w:p w:rsidR="00497E5D" w:rsidRPr="00D5755B" w:rsidRDefault="000A021E">
      <w:pPr>
        <w:spacing w:before="60" w:after="60"/>
        <w:jc w:val="center"/>
        <w:rPr>
          <w:sz w:val="24"/>
          <w:szCs w:val="24"/>
        </w:rPr>
      </w:pPr>
      <w:r w:rsidRPr="00D5755B">
        <w:rPr>
          <w:noProof/>
          <w:sz w:val="24"/>
          <w:szCs w:val="24"/>
        </w:rPr>
        <w:lastRenderedPageBreak/>
        <w:drawing>
          <wp:inline distT="0" distB="0" distL="0" distR="0">
            <wp:extent cx="5048250" cy="5476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Flujo operativo de teleexperticia — etapas del proceso: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2185"/>
        <w:gridCol w:w="2170"/>
        <w:gridCol w:w="3817"/>
      </w:tblGrid>
      <w:tr w:rsidR="00497E5D" w:rsidRPr="00D5755B">
        <w:tc>
          <w:tcPr>
            <w:tcW w:w="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Etapa</w:t>
            </w:r>
          </w:p>
        </w:tc>
        <w:tc>
          <w:tcPr>
            <w:tcW w:w="22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2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3826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Acción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Identificación de necesidad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Profesional asistencial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Sospecha clínica de anemia. Aplicar evaluación de alarma oncológica. Solicitar hemograma.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Verificación de requisitos y consentimiento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Centro Remisor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Criterios de inclusión. Consentimiento informado del paciente/cuidador.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Diligenciamiento y envío de datos clínicos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Profesional solicitante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Canales: 3228234549 · 3228234532 · telemedicina.digital@hun.edu.co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Recepción y validación de información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Centro Referente / profesional experto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Cargue en Hosvital. Acuse de recibo en máx. 2 horas hábiles.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Análisis de caso y concepto clínico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Pediatra experto HUN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Evaluación diagnóstica y orientación de manejo. Concepto en máx. 24h (electivo) / 2h (alarma).</w:t>
            </w:r>
          </w:p>
        </w:tc>
      </w:tr>
      <w:tr w:rsidR="00497E5D" w:rsidRPr="00D5755B">
        <w:tc>
          <w:tcPr>
            <w:tcW w:w="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Envío de ordenamiento</w:t>
            </w:r>
          </w:p>
        </w:tc>
        <w:tc>
          <w:tcPr>
            <w:tcW w:w="2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Profesional experto</w:t>
            </w:r>
          </w:p>
        </w:tc>
        <w:tc>
          <w:tcPr>
            <w:tcW w:w="38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 través de correo corporativo. Médico remisor implementa y registra en HC local.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Criterios de Inclusión / Exclusión Telesalud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Criterios de remisión: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E8A09A"/>
              <w:left w:val="single" w:sz="6" w:space="0" w:color="E8A09A"/>
              <w:bottom w:val="single" w:sz="6" w:space="0" w:color="E8A09A"/>
              <w:right w:val="single" w:sz="6" w:space="0" w:color="E8A09A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rFonts w:ascii="Segoe UI Symbol" w:hAnsi="Segoe UI Symbol" w:cs="Segoe UI Symbol"/>
                <w:b/>
                <w:bCs/>
                <w:color w:val="922B21"/>
                <w:sz w:val="24"/>
                <w:szCs w:val="24"/>
              </w:rPr>
              <w:t>⚠</w:t>
            </w:r>
            <w:r w:rsidRPr="00D5755B">
              <w:rPr>
                <w:b/>
                <w:bCs/>
                <w:color w:val="922B21"/>
                <w:sz w:val="24"/>
                <w:szCs w:val="24"/>
              </w:rPr>
              <w:t xml:space="preserve"> CRITERIO DE EXCLUSIÓN ABSOLUTO — Remisión a URGENCIAS INMEDIATA (antes de cualquier otro paso):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Sospecha de patología oncológica. Activar ante CUALQUIERA de los siguientes hallazgos: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Pancitopenia (anemia + leucopenia + trombocitopenia): sospecha de leucemia o aplasia medular.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Adenopatías generalizadas o localizadas de causa no explicada.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Hepatomegalia o esplenomegalia inexplicada.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Fiebre prolongada (&gt; 2 semanas) sin foco infeccioso identificado.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Masa abdominal o mediastinal.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→ Pérdida de peso involuntaria, sudoración nocturna, palidez de instauración rápida.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REGLA: La sospecha de cáncer en niños es siempre una urgencia. No esperar resultados. Remitir y notificar.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7E5D" w:rsidRPr="00D5755B">
        <w:tc>
          <w:tcPr>
            <w:tcW w:w="9026" w:type="dxa"/>
            <w:tcBorders>
              <w:top w:val="single" w:sz="6" w:space="0" w:color="82C9A0"/>
              <w:left w:val="single" w:sz="6" w:space="0" w:color="82C9A0"/>
              <w:bottom w:val="single" w:sz="6" w:space="0" w:color="82C9A0"/>
              <w:right w:val="single" w:sz="6" w:space="0" w:color="82C9A0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97E5D" w:rsidRPr="00D5755B" w:rsidRDefault="000A021E">
            <w:pPr>
              <w:spacing w:before="60" w:after="50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E8449"/>
                <w:sz w:val="24"/>
                <w:szCs w:val="24"/>
              </w:rPr>
              <w:t>Criterios de INCLUSIÓN para teleexperticia al HUN: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Anemia leve-moderada sin respuesta a tratamiento con sulfato ferroso al mes (no hay ascenso de Hb ≥ 1 g/dL).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Sospecha de talasemia o hemoglobinopatía: VCM muy bajo, ADE normal, eritrocitosis, antecedente familiar.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Anemia normocítica o macrocítica en niño sin causa clara identificable desde el nivel primario.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Anemia grave (Hb &lt; 7 g/dL) sin signos de descompensación hemodinámica.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Sospecha de malabsorción intestinal como causa de anemia ferropénica refractaria.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Anemia macrocítica con síntomas neurológicos (urgente).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Niño con retraso del desarrollo psicomotor y anemia ferropénica severa.</w:t>
            </w:r>
          </w:p>
          <w:p w:rsidR="00497E5D" w:rsidRPr="00D5755B" w:rsidRDefault="000A021E">
            <w:pPr>
              <w:pStyle w:val="Prrafodelista"/>
              <w:numPr>
                <w:ilvl w:val="0"/>
                <w:numId w:val="2"/>
              </w:numPr>
              <w:spacing w:before="34" w:after="34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Cualquier caso que supere la capacidad resolutiva del médico del centro remisor.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Roles y Responsabilidades Telesalud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lastRenderedPageBreak/>
        <w:t>Profesional solicitante (Centro Remisor)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Generar la solicitud formal de tele-experticia.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Garantizar información clínica clara, completa y pertinente.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Asegurar consentimiento informado del paciente para uso de medios tecnológicos.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Realizar acciones derivadas de las recomendaciones emitidas.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Registrar en historia clínica.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Profesional experto (Centro Referente)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Analizar la información recibida y emitir concepto técnico-clínico.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Garantizar recomendaciones fundamentadas en evidencia.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Registrar la opinión médica en historia clínica.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Respetar tiempos de respuesta establecidos.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5276"/>
          <w:sz w:val="24"/>
          <w:szCs w:val="24"/>
        </w:rPr>
        <w:t>Responsabilidades específicas — Centro Remisor: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Aplicar la evaluación de alarma oncológica ANTES de iniciar cualquier tratamiento con hierro.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Solicitar hemograma en todo niño con sospecha de anemia; interpretar VCM como bajo, normal o alto.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Iniciar prueba terapéutica ante anemia microcítica compatible con ferropenia, incluso sin ferritina disponible.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Realizar control de hemograma al mes y hemograma + ferritina a los 3 meses.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Gestionar desparasitación y consejería nutricional en cada consulta.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5276"/>
          <w:sz w:val="24"/>
          <w:szCs w:val="24"/>
        </w:rPr>
        <w:t>Responsabilidades específicas — Pediatra HUN: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Orientar el diagnóstico diferencial en anemias que no respondan a la prueba terapéutica.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Emitir concepto con: impresión diagnóstica, plan de manejo, criterios de alarma y plan de seguimiento.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Participar en capacitación continua sobre anemia en pediatría para el equipo del nivel primario.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Tiempos de Respuesta Sugeridos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6118"/>
      </w:tblGrid>
      <w:tr w:rsidR="00497E5D" w:rsidRPr="00D5755B">
        <w:tc>
          <w:tcPr>
            <w:tcW w:w="28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5276"/>
                <w:sz w:val="24"/>
                <w:szCs w:val="24"/>
              </w:rPr>
              <w:t>Tiempo máximo de respuesta</w:t>
            </w:r>
          </w:p>
        </w:tc>
      </w:tr>
      <w:tr w:rsidR="00497E5D" w:rsidRPr="00D5755B">
        <w:tc>
          <w:tcPr>
            <w:tcW w:w="2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URGENTE — Alarma oncológica (pancitopenia, adenopatías, hepatoesplenomegalia)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directa a urgencias. No aplica teleexperticia — acción inmediata.</w:t>
            </w:r>
          </w:p>
        </w:tc>
      </w:tr>
      <w:tr w:rsidR="00497E5D" w:rsidRPr="00D5755B">
        <w:tc>
          <w:tcPr>
            <w:tcW w:w="2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URGENTE — Hb &lt; 7 g/dL con descompensación hemodinámica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Remisión a urgencias. Teleexperticia simultánea en ≤ 2 horas hábiles.</w:t>
            </w:r>
          </w:p>
        </w:tc>
      </w:tr>
      <w:tr w:rsidR="00497E5D" w:rsidRPr="00D5755B">
        <w:tc>
          <w:tcPr>
            <w:tcW w:w="2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lastRenderedPageBreak/>
              <w:t>PREFERENTE — Hb &lt; 7 g/dL sin descompensación · Anemia hemolítica · Sospecha aplasia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 w:rsidP="00F4321A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 xml:space="preserve">Respuesta del HUN en ≤ </w:t>
            </w:r>
            <w:r w:rsidR="00F4321A" w:rsidRPr="00D5755B">
              <w:rPr>
                <w:color w:val="1A1A1A"/>
                <w:sz w:val="24"/>
                <w:szCs w:val="24"/>
              </w:rPr>
              <w:t>8</w:t>
            </w:r>
            <w:r w:rsidRPr="00D5755B">
              <w:rPr>
                <w:color w:val="1A1A1A"/>
                <w:sz w:val="24"/>
                <w:szCs w:val="24"/>
              </w:rPr>
              <w:t xml:space="preserve"> horas hábiles.</w:t>
            </w:r>
          </w:p>
        </w:tc>
      </w:tr>
      <w:tr w:rsidR="00497E5D" w:rsidRPr="00D5755B">
        <w:tc>
          <w:tcPr>
            <w:tcW w:w="2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ELECTIVO — No respuesta a prueba terapéutica · Sospecha talasemia · Anemia normo/macrocítica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Respuesta del HUN en ≤ 24 horas hábiles.</w:t>
            </w:r>
          </w:p>
        </w:tc>
      </w:tr>
      <w:tr w:rsidR="00497E5D" w:rsidRPr="00D5755B">
        <w:tc>
          <w:tcPr>
            <w:tcW w:w="28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1A5276"/>
                <w:sz w:val="24"/>
                <w:szCs w:val="24"/>
              </w:rPr>
              <w:t>PREVENTIVO — Consejería · tamización · orientación en manejo rutinario</w:t>
            </w:r>
          </w:p>
        </w:tc>
        <w:tc>
          <w:tcPr>
            <w:tcW w:w="622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both"/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Respuesta del HUN en ≤ 48 horas hábiles.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Estrategias de Humanización Digital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Garantizar privacidad del espacio durante la teleconsulta; evitar interrupciones y presencia de personas no autorizadas.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Comunicar el diagnóstico de anemia al cuidador en lenguaje sencillo, sin generar alarma innecesaria. Explicar que la anemia ferropénica es tratable y prevenible.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Reforzar positivamente la adherencia al tratamiento: explicar que el cambio de color de las heces es normal y esperado, para evitar abandono prematuro.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Reconocer las preocupaciones de la familia: muchos cuidadores asocian la anemia con enfermedades graves. Aclarar la diferencia entre anemia nutricional y anemia grave.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Garantizar que el cuidador comprenda el esquema de seguimiento: control al mes y a los 3 meses. Proveer fecha y lugar antes de finalizar la consulta.</w:t>
      </w:r>
    </w:p>
    <w:p w:rsidR="00F4321A" w:rsidRPr="00D5755B" w:rsidRDefault="00F4321A" w:rsidP="00F4321A">
      <w:pPr>
        <w:pStyle w:val="Prrafodelista"/>
        <w:spacing w:before="40" w:after="40"/>
        <w:ind w:left="720"/>
        <w:rPr>
          <w:sz w:val="24"/>
          <w:szCs w:val="24"/>
        </w:rPr>
      </w:pP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Diálogo Intercultural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En territorios con población indígena, afrocolombiana o campesina, reconocer prácticas alimentarias y remedios tradicionales para la 'sangre débil'; dialogar desde el respeto, sin invalidar el conocimiento cultural.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En comunidades con lengua nativa, coordinar con intérprete o promotor de salud para garantizar que el cuidador comprenda el diagnóstico, el tratamiento y la importancia del seguimiento.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Adaptar las recomendaciones de fuentes de hierro a los alimentos disponibles en cada territorio: hígado de res, pescado de río, granos locales, hojas verdes. No prescribir alimentos inaccesibles.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En territorios con inseguridad alimentaria, coordinar con programas ICBF o del ente territorial para acceso a alimentos ricos en hierro como complemento del tratamiento farmacológico.</w:t>
      </w:r>
    </w:p>
    <w:p w:rsidR="00497E5D" w:rsidRPr="00D5755B" w:rsidRDefault="000A021E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Reconocer que en algunas comunidades la anemia es percibida como condición normal; el médico debe desmitificar esta percepción de manera empática y culturalmente respetuosa.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Indicadores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13"/>
        <w:gridCol w:w="2513"/>
      </w:tblGrid>
      <w:tr w:rsidR="00497E5D" w:rsidRPr="00D5755B">
        <w:tc>
          <w:tcPr>
            <w:tcW w:w="400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Indicador</w:t>
            </w:r>
          </w:p>
        </w:tc>
        <w:tc>
          <w:tcPr>
            <w:tcW w:w="2513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Fórmula / Fuente</w:t>
            </w:r>
          </w:p>
        </w:tc>
        <w:tc>
          <w:tcPr>
            <w:tcW w:w="2513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Meta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niños 6–59 meses con tamización de Hb en control de CyD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Niños con Hb medida / Total niños 6–59 m en control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≥ 80%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niños con anemia con evaluación de alarma oncológica documentada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Casos con evaluación registrada / Total anemias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100%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niños con anemia ferropénica con control de hemograma al mes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Controles al mes / Total iniciaron tratamiento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≥ 85%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niños con anemia ferropénica con control de ferritina a los 3 meses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Controles con ferritina / Total completaron 3 meses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≥ 70%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anemias no ferropénicas remitidas a pediatría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Casos no ferropénicos remitidos / Total no ferropénicos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≥ 95%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% de teleconsultas de anemia respondidas en tiempos establecidos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Respuestas en tiempo / Total solicitudes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≥ 90%</w:t>
            </w:r>
          </w:p>
        </w:tc>
      </w:tr>
      <w:tr w:rsidR="00497E5D" w:rsidRPr="00D5755B">
        <w:tc>
          <w:tcPr>
            <w:tcW w:w="40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Prevalencia de anemia en &lt; 5 años en municipios atendidos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Casos Hb &lt; 11 / Total niños evaluados × 100</w:t>
            </w:r>
          </w:p>
        </w:tc>
        <w:tc>
          <w:tcPr>
            <w:tcW w:w="2513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97E5D" w:rsidRPr="00D5755B" w:rsidRDefault="000A021E">
            <w:pPr>
              <w:rPr>
                <w:sz w:val="24"/>
                <w:szCs w:val="24"/>
              </w:rPr>
            </w:pPr>
            <w:r w:rsidRPr="00D5755B">
              <w:rPr>
                <w:color w:val="1A1A1A"/>
                <w:sz w:val="24"/>
                <w:szCs w:val="24"/>
              </w:rPr>
              <w:t>Tendencia ↓ vs ENSIN 2015</w:t>
            </w:r>
          </w:p>
        </w:tc>
      </w:tr>
    </w:tbl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 w:rsidP="00945888">
      <w:pPr>
        <w:rPr>
          <w:b/>
          <w:sz w:val="24"/>
          <w:szCs w:val="24"/>
        </w:rPr>
      </w:pPr>
      <w:r w:rsidRPr="00D5755B">
        <w:rPr>
          <w:b/>
          <w:sz w:val="24"/>
          <w:szCs w:val="24"/>
        </w:rPr>
        <w:t>Bibliografía</w:t>
      </w: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Normatividad colombiana: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Ministerio de Salud y Protección Social. Resolución 2654 de 2019. Bogotá; 2019.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Ministerio de Salud y Protección Social. Herramienta Clínica Primera Infancia — Módulo 10: Anemia. Estrategia AIEPI. Bogotá: MinSalud.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Ministerio de Salud y Protección Social; ICBF. ABC de Micronutrientes — Anemia por deficiencia de hierro. Bogotá: MinSalud; vigente.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Ministerio de Salud y Protección Social. Resolución 3280 de 2018 — Ruta Integral de Atención Materno Perinatal. Bogotá; 2018.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Instituto Colombiano de Bienestar Familiar. ENSIN 2015. Bogotá: ICBF; 2015.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Ministerio de Salud y Protección Social. Plan Decenal de Salud Pública 2022–2031. Bogotá: MinSalud; 2022.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0A021E">
      <w:pPr>
        <w:spacing w:before="60" w:after="60"/>
        <w:jc w:val="both"/>
        <w:rPr>
          <w:sz w:val="24"/>
          <w:szCs w:val="24"/>
        </w:rPr>
      </w:pPr>
      <w:r w:rsidRPr="00D5755B">
        <w:rPr>
          <w:b/>
          <w:bCs/>
          <w:color w:val="1A1A1A"/>
          <w:sz w:val="24"/>
          <w:szCs w:val="24"/>
        </w:rPr>
        <w:t>Literatura científica internacional: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  <w:lang w:val="en-US"/>
        </w:rPr>
        <w:t xml:space="preserve">World Health Organization. Guideline on haemoglobin cutoffs to define anaemia in individuals and populations. </w:t>
      </w:r>
      <w:r w:rsidRPr="00D5755B">
        <w:rPr>
          <w:color w:val="1A1A1A"/>
          <w:sz w:val="24"/>
          <w:szCs w:val="24"/>
        </w:rPr>
        <w:t>Geneva: WHO; 2024.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  <w:lang w:val="en-US"/>
        </w:rPr>
        <w:lastRenderedPageBreak/>
        <w:t xml:space="preserve">Baker RD, Greer FR; AAP. Clinical Report: Diagnosis and Prevention of Iron Deficiency and Iron-Deficiency Anemia in Infants and Young Children 0–3 Years of Age. </w:t>
      </w:r>
      <w:r w:rsidRPr="00D5755B">
        <w:rPr>
          <w:color w:val="1A1A1A"/>
          <w:sz w:val="24"/>
          <w:szCs w:val="24"/>
        </w:rPr>
        <w:t>Pediatrics. 2010;126(5):1040–1050.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  <w:lang w:val="en-US"/>
        </w:rPr>
        <w:t xml:space="preserve">Donato H, Rapetti MC, et al. </w:t>
      </w:r>
      <w:r w:rsidRPr="00D5755B">
        <w:rPr>
          <w:color w:val="1A1A1A"/>
          <w:sz w:val="24"/>
          <w:szCs w:val="24"/>
        </w:rPr>
        <w:t>Anemias microcíticas hipocrómicas: guía de diagnóstico diferencial. Arch Argent Pediatr. 2017;115(Supl 5):S83–S90.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  <w:lang w:val="en-US"/>
        </w:rPr>
      </w:pPr>
      <w:r w:rsidRPr="00D5755B">
        <w:rPr>
          <w:color w:val="1A1A1A"/>
          <w:sz w:val="24"/>
          <w:szCs w:val="24"/>
        </w:rPr>
        <w:t xml:space="preserve">Del Castillo L, Cardona-Castro N, et al. </w:t>
      </w:r>
      <w:r w:rsidRPr="00D5755B">
        <w:rPr>
          <w:color w:val="1A1A1A"/>
          <w:sz w:val="24"/>
          <w:szCs w:val="24"/>
          <w:lang w:val="en-US"/>
        </w:rPr>
        <w:t>Prevalence and risk factors of anemia in the mother-child population from a region of the Colombian Caribbean. BMC Public Health. 2023;23:1521.</w:t>
      </w:r>
    </w:p>
    <w:p w:rsidR="00497E5D" w:rsidRPr="00D5755B" w:rsidRDefault="000A021E">
      <w:pPr>
        <w:pStyle w:val="Prrafodelista"/>
        <w:numPr>
          <w:ilvl w:val="0"/>
          <w:numId w:val="3"/>
        </w:numPr>
        <w:spacing w:before="50" w:after="50"/>
        <w:rPr>
          <w:sz w:val="24"/>
          <w:szCs w:val="24"/>
        </w:rPr>
      </w:pPr>
      <w:r w:rsidRPr="00D5755B">
        <w:rPr>
          <w:color w:val="1A1A1A"/>
          <w:sz w:val="24"/>
          <w:szCs w:val="24"/>
        </w:rPr>
        <w:t>OPS / OMS. Atención Integrada a las Enfermedades Prevalentes de la Infancia (AIEPI). Módulo de anemia. Washington DC: OPS; vigente.</w:t>
      </w:r>
    </w:p>
    <w:p w:rsidR="00497E5D" w:rsidRPr="00D5755B" w:rsidRDefault="00497E5D">
      <w:pPr>
        <w:spacing w:before="30" w:after="30"/>
        <w:rPr>
          <w:sz w:val="24"/>
          <w:szCs w:val="24"/>
        </w:rPr>
      </w:pPr>
    </w:p>
    <w:p w:rsidR="00497E5D" w:rsidRPr="00D5755B" w:rsidRDefault="00497E5D">
      <w:pPr>
        <w:spacing w:before="30" w:after="3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073"/>
        <w:gridCol w:w="3073"/>
      </w:tblGrid>
      <w:tr w:rsidR="00497E5D" w:rsidRPr="00D5755B">
        <w:tc>
          <w:tcPr>
            <w:tcW w:w="0" w:type="auto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Quien realiza</w:t>
            </w:r>
          </w:p>
        </w:tc>
        <w:tc>
          <w:tcPr>
            <w:tcW w:w="0" w:type="auto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Quien revisa</w:t>
            </w:r>
          </w:p>
        </w:tc>
        <w:tc>
          <w:tcPr>
            <w:tcW w:w="0" w:type="auto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7E5D" w:rsidRPr="00D5755B" w:rsidRDefault="000A021E">
            <w:pPr>
              <w:jc w:val="center"/>
              <w:rPr>
                <w:sz w:val="24"/>
                <w:szCs w:val="24"/>
              </w:rPr>
            </w:pPr>
            <w:r w:rsidRPr="00D5755B">
              <w:rPr>
                <w:b/>
                <w:bCs/>
                <w:color w:val="FFFFFF"/>
                <w:sz w:val="24"/>
                <w:szCs w:val="24"/>
              </w:rPr>
              <w:t>Quien aprueba</w:t>
            </w:r>
          </w:p>
        </w:tc>
      </w:tr>
      <w:tr w:rsidR="00497E5D" w:rsidRPr="00D5755B"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3F4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497E5D" w:rsidRPr="00D5755B" w:rsidRDefault="00F4321A">
            <w:pPr>
              <w:jc w:val="center"/>
              <w:rPr>
                <w:color w:val="5D6D7E"/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Jenifer Alexandra Rojas</w:t>
            </w:r>
          </w:p>
          <w:p w:rsidR="00F4321A" w:rsidRPr="00D5755B" w:rsidRDefault="00F4321A">
            <w:pPr>
              <w:jc w:val="center"/>
              <w:rPr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Pediatra HUN Digital</w:t>
            </w:r>
          </w:p>
        </w:tc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497E5D" w:rsidRPr="00D5755B" w:rsidRDefault="00F4321A">
            <w:pPr>
              <w:jc w:val="center"/>
              <w:rPr>
                <w:color w:val="5D6D7E"/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Jakeline Caro</w:t>
            </w:r>
          </w:p>
          <w:p w:rsidR="00F4321A" w:rsidRPr="00D5755B" w:rsidRDefault="00F4321A">
            <w:pPr>
              <w:jc w:val="center"/>
              <w:rPr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Coordinación HUN Digital</w:t>
            </w:r>
          </w:p>
        </w:tc>
        <w:tc>
          <w:tcPr>
            <w:tcW w:w="0" w:type="auto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3F4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F4321A" w:rsidRPr="00D5755B" w:rsidRDefault="00F4321A" w:rsidP="00F4321A">
            <w:pPr>
              <w:jc w:val="center"/>
              <w:rPr>
                <w:color w:val="5D6D7E"/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Jakeline Caro</w:t>
            </w:r>
          </w:p>
          <w:p w:rsidR="00497E5D" w:rsidRPr="00D5755B" w:rsidRDefault="00F4321A" w:rsidP="00F4321A">
            <w:pPr>
              <w:jc w:val="center"/>
              <w:rPr>
                <w:sz w:val="24"/>
                <w:szCs w:val="24"/>
              </w:rPr>
            </w:pPr>
            <w:r w:rsidRPr="00D5755B">
              <w:rPr>
                <w:color w:val="5D6D7E"/>
                <w:sz w:val="24"/>
                <w:szCs w:val="24"/>
              </w:rPr>
              <w:t>Coordinación HUN Digital</w:t>
            </w:r>
          </w:p>
        </w:tc>
      </w:tr>
    </w:tbl>
    <w:p w:rsidR="000A021E" w:rsidRPr="00D5755B" w:rsidRDefault="000A021E">
      <w:pPr>
        <w:rPr>
          <w:sz w:val="24"/>
          <w:szCs w:val="24"/>
        </w:rPr>
      </w:pPr>
    </w:p>
    <w:sectPr w:rsidR="000A021E" w:rsidRPr="00D5755B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CEA" w:rsidRDefault="00A42CEA">
      <w:r>
        <w:separator/>
      </w:r>
    </w:p>
  </w:endnote>
  <w:endnote w:type="continuationSeparator" w:id="0">
    <w:p w:rsidR="00A42CEA" w:rsidRDefault="00A4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E5D" w:rsidRDefault="000A021E">
    <w:pPr>
      <w:pBdr>
        <w:top w:val="single" w:sz="4" w:space="1" w:color="AED6F1"/>
      </w:pBdr>
      <w:spacing w:before="80"/>
      <w:jc w:val="center"/>
    </w:pPr>
    <w:r>
      <w:rPr>
        <w:color w:val="5D6D7E"/>
        <w:sz w:val="16"/>
        <w:szCs w:val="16"/>
      </w:rPr>
      <w:t xml:space="preserve">Hospital Universitario Nacional de Colombia  |  Departamento de Pediatría  |  Página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D5755B">
      <w:rPr>
        <w:noProof/>
        <w:color w:val="5D6D7E"/>
        <w:sz w:val="16"/>
        <w:szCs w:val="16"/>
      </w:rPr>
      <w:t>13</w:t>
    </w:r>
    <w:r>
      <w:rPr>
        <w:color w:val="5D6D7E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de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NUMPAGES</w:instrText>
    </w:r>
    <w:r>
      <w:rPr>
        <w:color w:val="5D6D7E"/>
        <w:sz w:val="16"/>
        <w:szCs w:val="16"/>
      </w:rPr>
      <w:fldChar w:fldCharType="separate"/>
    </w:r>
    <w:r w:rsidR="00D5755B">
      <w:rPr>
        <w:noProof/>
        <w:color w:val="5D6D7E"/>
        <w:sz w:val="16"/>
        <w:szCs w:val="16"/>
      </w:rPr>
      <w:t>13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CEA" w:rsidRDefault="00A42CEA">
      <w:r>
        <w:separator/>
      </w:r>
    </w:p>
  </w:footnote>
  <w:footnote w:type="continuationSeparator" w:id="0">
    <w:p w:rsidR="00A42CEA" w:rsidRDefault="00A42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52" w:type="dxa"/>
      <w:tblInd w:w="-318" w:type="dxa"/>
      <w:tblLook w:val="04A0" w:firstRow="1" w:lastRow="0" w:firstColumn="1" w:lastColumn="0" w:noHBand="0" w:noVBand="1"/>
    </w:tblPr>
    <w:tblGrid>
      <w:gridCol w:w="2440"/>
      <w:gridCol w:w="2268"/>
      <w:gridCol w:w="3260"/>
      <w:gridCol w:w="1984"/>
    </w:tblGrid>
    <w:tr w:rsidR="00A13F2E" w:rsidTr="007975A1">
      <w:trPr>
        <w:trHeight w:val="268"/>
      </w:trPr>
      <w:tc>
        <w:tcPr>
          <w:tcW w:w="2440" w:type="dxa"/>
          <w:vMerge w:val="restart"/>
          <w:vAlign w:val="center"/>
        </w:tcPr>
        <w:p w:rsidR="00A13F2E" w:rsidRDefault="00A13F2E" w:rsidP="00A13F2E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85E46A4" wp14:editId="43C8C217">
                <wp:simplePos x="0" y="0"/>
                <wp:positionH relativeFrom="column">
                  <wp:posOffset>19050</wp:posOffset>
                </wp:positionH>
                <wp:positionV relativeFrom="paragraph">
                  <wp:posOffset>-12700</wp:posOffset>
                </wp:positionV>
                <wp:extent cx="1368425" cy="666750"/>
                <wp:effectExtent l="0" t="0" r="3175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79" r="41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42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12" w:type="dxa"/>
          <w:gridSpan w:val="3"/>
          <w:vAlign w:val="center"/>
        </w:tcPr>
        <w:p w:rsidR="00A13F2E" w:rsidRPr="008779DF" w:rsidRDefault="00945888" w:rsidP="00A13F2E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Diagnóstico y manejo de anemia en pediatría</w:t>
          </w:r>
          <w:r w:rsidR="00A13F2E"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</w:tr>
    <w:tr w:rsidR="00A13F2E" w:rsidTr="007975A1">
      <w:trPr>
        <w:trHeight w:val="372"/>
      </w:trPr>
      <w:tc>
        <w:tcPr>
          <w:tcW w:w="2440" w:type="dxa"/>
          <w:vMerge/>
          <w:vAlign w:val="center"/>
        </w:tcPr>
        <w:p w:rsidR="00A13F2E" w:rsidRDefault="00A13F2E" w:rsidP="00A13F2E">
          <w:pPr>
            <w:pStyle w:val="Encabezado"/>
            <w:jc w:val="center"/>
            <w:rPr>
              <w:noProof/>
              <w:lang w:eastAsia="es-CO"/>
            </w:rPr>
          </w:pPr>
        </w:p>
      </w:tc>
      <w:tc>
        <w:tcPr>
          <w:tcW w:w="7512" w:type="dxa"/>
          <w:gridSpan w:val="3"/>
          <w:vAlign w:val="center"/>
        </w:tcPr>
        <w:p w:rsidR="00A13F2E" w:rsidRPr="008779DF" w:rsidRDefault="00A13F2E" w:rsidP="00A13F2E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Protocolo </w:t>
          </w:r>
        </w:p>
      </w:tc>
    </w:tr>
    <w:tr w:rsidR="00A13F2E" w:rsidTr="007975A1">
      <w:trPr>
        <w:trHeight w:val="408"/>
      </w:trPr>
      <w:tc>
        <w:tcPr>
          <w:tcW w:w="2440" w:type="dxa"/>
          <w:vMerge/>
        </w:tcPr>
        <w:p w:rsidR="00A13F2E" w:rsidRDefault="00A13F2E" w:rsidP="00A13F2E">
          <w:pPr>
            <w:pStyle w:val="Encabezado"/>
          </w:pPr>
        </w:p>
      </w:tc>
      <w:tc>
        <w:tcPr>
          <w:tcW w:w="2268" w:type="dxa"/>
          <w:vAlign w:val="center"/>
        </w:tcPr>
        <w:p w:rsidR="00A13F2E" w:rsidRPr="00BD50F6" w:rsidRDefault="00A13F2E" w:rsidP="00A13F2E">
          <w:pPr>
            <w:pStyle w:val="Encabezad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  <w:r w:rsidRPr="00BD50F6">
            <w:rPr>
              <w:rFonts w:ascii="Arial" w:hAnsi="Arial" w:cs="Arial"/>
              <w:sz w:val="20"/>
              <w:szCs w:val="20"/>
            </w:rPr>
            <w:t xml:space="preserve">: </w:t>
          </w:r>
          <w:r>
            <w:rPr>
              <w:rFonts w:ascii="Arial" w:hAnsi="Arial" w:cs="Arial"/>
              <w:sz w:val="20"/>
              <w:szCs w:val="20"/>
            </w:rPr>
            <w:t>IN-FR-87</w:t>
          </w:r>
        </w:p>
      </w:tc>
      <w:tc>
        <w:tcPr>
          <w:tcW w:w="3260" w:type="dxa"/>
          <w:vAlign w:val="center"/>
        </w:tcPr>
        <w:p w:rsidR="00A13F2E" w:rsidRPr="00BD50F6" w:rsidRDefault="00A13F2E" w:rsidP="00A13F2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Vigente desde: 2025-06-25</w:t>
          </w:r>
        </w:p>
      </w:tc>
      <w:tc>
        <w:tcPr>
          <w:tcW w:w="1984" w:type="dxa"/>
          <w:vAlign w:val="center"/>
        </w:tcPr>
        <w:p w:rsidR="00A13F2E" w:rsidRPr="00BD50F6" w:rsidRDefault="00A13F2E" w:rsidP="00A13F2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Versión: 001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B4E17"/>
    <w:multiLevelType w:val="hybridMultilevel"/>
    <w:tmpl w:val="08D0763C"/>
    <w:lvl w:ilvl="0" w:tplc="43E62F9A">
      <w:start w:val="1"/>
      <w:numFmt w:val="bullet"/>
      <w:lvlText w:val="–"/>
      <w:lvlJc w:val="left"/>
      <w:pPr>
        <w:ind w:left="1080" w:hanging="360"/>
      </w:pPr>
    </w:lvl>
    <w:lvl w:ilvl="1" w:tplc="7246677C">
      <w:numFmt w:val="decimal"/>
      <w:lvlText w:val=""/>
      <w:lvlJc w:val="left"/>
    </w:lvl>
    <w:lvl w:ilvl="2" w:tplc="8FE6D622">
      <w:numFmt w:val="decimal"/>
      <w:lvlText w:val=""/>
      <w:lvlJc w:val="left"/>
    </w:lvl>
    <w:lvl w:ilvl="3" w:tplc="8CFE8E6A">
      <w:numFmt w:val="decimal"/>
      <w:lvlText w:val=""/>
      <w:lvlJc w:val="left"/>
    </w:lvl>
    <w:lvl w:ilvl="4" w:tplc="DF125D70">
      <w:numFmt w:val="decimal"/>
      <w:lvlText w:val=""/>
      <w:lvlJc w:val="left"/>
    </w:lvl>
    <w:lvl w:ilvl="5" w:tplc="1A905B5A">
      <w:numFmt w:val="decimal"/>
      <w:lvlText w:val=""/>
      <w:lvlJc w:val="left"/>
    </w:lvl>
    <w:lvl w:ilvl="6" w:tplc="0E3EC2DC">
      <w:numFmt w:val="decimal"/>
      <w:lvlText w:val=""/>
      <w:lvlJc w:val="left"/>
    </w:lvl>
    <w:lvl w:ilvl="7" w:tplc="1B5E5934">
      <w:numFmt w:val="decimal"/>
      <w:lvlText w:val=""/>
      <w:lvlJc w:val="left"/>
    </w:lvl>
    <w:lvl w:ilvl="8" w:tplc="AC3C2EDA">
      <w:numFmt w:val="decimal"/>
      <w:lvlText w:val=""/>
      <w:lvlJc w:val="left"/>
    </w:lvl>
  </w:abstractNum>
  <w:abstractNum w:abstractNumId="1" w15:restartNumberingAfterBreak="0">
    <w:nsid w:val="3CF37AD2"/>
    <w:multiLevelType w:val="hybridMultilevel"/>
    <w:tmpl w:val="23A4D43E"/>
    <w:lvl w:ilvl="0" w:tplc="F3DA90FE">
      <w:start w:val="1"/>
      <w:numFmt w:val="bullet"/>
      <w:lvlText w:val="•"/>
      <w:lvlJc w:val="left"/>
      <w:pPr>
        <w:ind w:left="720" w:hanging="360"/>
      </w:pPr>
    </w:lvl>
    <w:lvl w:ilvl="1" w:tplc="00CE3410">
      <w:numFmt w:val="decimal"/>
      <w:lvlText w:val=""/>
      <w:lvlJc w:val="left"/>
    </w:lvl>
    <w:lvl w:ilvl="2" w:tplc="A0C89280">
      <w:numFmt w:val="decimal"/>
      <w:lvlText w:val=""/>
      <w:lvlJc w:val="left"/>
    </w:lvl>
    <w:lvl w:ilvl="3" w:tplc="D8ACE9C6">
      <w:numFmt w:val="decimal"/>
      <w:lvlText w:val=""/>
      <w:lvlJc w:val="left"/>
    </w:lvl>
    <w:lvl w:ilvl="4" w:tplc="E7EE5216">
      <w:numFmt w:val="decimal"/>
      <w:lvlText w:val=""/>
      <w:lvlJc w:val="left"/>
    </w:lvl>
    <w:lvl w:ilvl="5" w:tplc="8AC42D70">
      <w:numFmt w:val="decimal"/>
      <w:lvlText w:val=""/>
      <w:lvlJc w:val="left"/>
    </w:lvl>
    <w:lvl w:ilvl="6" w:tplc="92EE2E3E">
      <w:numFmt w:val="decimal"/>
      <w:lvlText w:val=""/>
      <w:lvlJc w:val="left"/>
    </w:lvl>
    <w:lvl w:ilvl="7" w:tplc="74707354">
      <w:numFmt w:val="decimal"/>
      <w:lvlText w:val=""/>
      <w:lvlJc w:val="left"/>
    </w:lvl>
    <w:lvl w:ilvl="8" w:tplc="DE7E324E">
      <w:numFmt w:val="decimal"/>
      <w:lvlText w:val=""/>
      <w:lvlJc w:val="left"/>
    </w:lvl>
  </w:abstractNum>
  <w:abstractNum w:abstractNumId="2" w15:restartNumberingAfterBreak="0">
    <w:nsid w:val="6835188B"/>
    <w:multiLevelType w:val="hybridMultilevel"/>
    <w:tmpl w:val="8BC4845E"/>
    <w:lvl w:ilvl="0" w:tplc="7ABAB40A">
      <w:start w:val="1"/>
      <w:numFmt w:val="decimal"/>
      <w:lvlText w:val="%1."/>
      <w:lvlJc w:val="left"/>
      <w:pPr>
        <w:ind w:left="720" w:hanging="360"/>
      </w:pPr>
    </w:lvl>
    <w:lvl w:ilvl="1" w:tplc="7EFE4E06">
      <w:numFmt w:val="decimal"/>
      <w:lvlText w:val=""/>
      <w:lvlJc w:val="left"/>
    </w:lvl>
    <w:lvl w:ilvl="2" w:tplc="ACA2767E">
      <w:numFmt w:val="decimal"/>
      <w:lvlText w:val=""/>
      <w:lvlJc w:val="left"/>
    </w:lvl>
    <w:lvl w:ilvl="3" w:tplc="5BE26A1E">
      <w:numFmt w:val="decimal"/>
      <w:lvlText w:val=""/>
      <w:lvlJc w:val="left"/>
    </w:lvl>
    <w:lvl w:ilvl="4" w:tplc="594623F2">
      <w:numFmt w:val="decimal"/>
      <w:lvlText w:val=""/>
      <w:lvlJc w:val="left"/>
    </w:lvl>
    <w:lvl w:ilvl="5" w:tplc="5B903A50">
      <w:numFmt w:val="decimal"/>
      <w:lvlText w:val=""/>
      <w:lvlJc w:val="left"/>
    </w:lvl>
    <w:lvl w:ilvl="6" w:tplc="8B2A6B3C">
      <w:numFmt w:val="decimal"/>
      <w:lvlText w:val=""/>
      <w:lvlJc w:val="left"/>
    </w:lvl>
    <w:lvl w:ilvl="7" w:tplc="75E699A8">
      <w:numFmt w:val="decimal"/>
      <w:lvlText w:val=""/>
      <w:lvlJc w:val="left"/>
    </w:lvl>
    <w:lvl w:ilvl="8" w:tplc="4FD4EA32">
      <w:numFmt w:val="decimal"/>
      <w:lvlText w:val=""/>
      <w:lvlJc w:val="left"/>
    </w:lvl>
  </w:abstractNum>
  <w:abstractNum w:abstractNumId="3" w15:restartNumberingAfterBreak="0">
    <w:nsid w:val="70596328"/>
    <w:multiLevelType w:val="hybridMultilevel"/>
    <w:tmpl w:val="7F685352"/>
    <w:lvl w:ilvl="0" w:tplc="DA6E6524">
      <w:start w:val="1"/>
      <w:numFmt w:val="bullet"/>
      <w:lvlText w:val="●"/>
      <w:lvlJc w:val="left"/>
      <w:pPr>
        <w:ind w:left="720" w:hanging="360"/>
      </w:pPr>
    </w:lvl>
    <w:lvl w:ilvl="1" w:tplc="9E1C2E2E">
      <w:start w:val="1"/>
      <w:numFmt w:val="bullet"/>
      <w:lvlText w:val="○"/>
      <w:lvlJc w:val="left"/>
      <w:pPr>
        <w:ind w:left="1440" w:hanging="360"/>
      </w:pPr>
    </w:lvl>
    <w:lvl w:ilvl="2" w:tplc="F2C064E0">
      <w:start w:val="1"/>
      <w:numFmt w:val="bullet"/>
      <w:lvlText w:val="■"/>
      <w:lvlJc w:val="left"/>
      <w:pPr>
        <w:ind w:left="2160" w:hanging="360"/>
      </w:pPr>
    </w:lvl>
    <w:lvl w:ilvl="3" w:tplc="7DCC9656">
      <w:start w:val="1"/>
      <w:numFmt w:val="bullet"/>
      <w:lvlText w:val="●"/>
      <w:lvlJc w:val="left"/>
      <w:pPr>
        <w:ind w:left="2880" w:hanging="360"/>
      </w:pPr>
    </w:lvl>
    <w:lvl w:ilvl="4" w:tplc="CC080CBC">
      <w:start w:val="1"/>
      <w:numFmt w:val="bullet"/>
      <w:lvlText w:val="○"/>
      <w:lvlJc w:val="left"/>
      <w:pPr>
        <w:ind w:left="3600" w:hanging="360"/>
      </w:pPr>
    </w:lvl>
    <w:lvl w:ilvl="5" w:tplc="CD860B32">
      <w:start w:val="1"/>
      <w:numFmt w:val="bullet"/>
      <w:lvlText w:val="■"/>
      <w:lvlJc w:val="left"/>
      <w:pPr>
        <w:ind w:left="4320" w:hanging="360"/>
      </w:pPr>
    </w:lvl>
    <w:lvl w:ilvl="6" w:tplc="FE64FCBA">
      <w:start w:val="1"/>
      <w:numFmt w:val="bullet"/>
      <w:lvlText w:val="●"/>
      <w:lvlJc w:val="left"/>
      <w:pPr>
        <w:ind w:left="5040" w:hanging="360"/>
      </w:pPr>
    </w:lvl>
    <w:lvl w:ilvl="7" w:tplc="254C32C4">
      <w:start w:val="1"/>
      <w:numFmt w:val="bullet"/>
      <w:lvlText w:val="●"/>
      <w:lvlJc w:val="left"/>
      <w:pPr>
        <w:ind w:left="5760" w:hanging="360"/>
      </w:pPr>
    </w:lvl>
    <w:lvl w:ilvl="8" w:tplc="16FC41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E5D"/>
    <w:rsid w:val="000A021E"/>
    <w:rsid w:val="00497E5D"/>
    <w:rsid w:val="004C105A"/>
    <w:rsid w:val="0070198D"/>
    <w:rsid w:val="00945888"/>
    <w:rsid w:val="00A13F2E"/>
    <w:rsid w:val="00A42CEA"/>
    <w:rsid w:val="00D5755B"/>
    <w:rsid w:val="00F4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30B60B-AD34-4194-8D62-7E3BF408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13F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3F2E"/>
  </w:style>
  <w:style w:type="paragraph" w:styleId="Piedepgina">
    <w:name w:val="footer"/>
    <w:basedOn w:val="Normal"/>
    <w:link w:val="PiedepginaCar"/>
    <w:uiPriority w:val="99"/>
    <w:unhideWhenUsed/>
    <w:rsid w:val="00A13F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F2E"/>
  </w:style>
  <w:style w:type="table" w:styleId="Tablaconcuadrcula">
    <w:name w:val="Table Grid"/>
    <w:basedOn w:val="Tablanormal"/>
    <w:uiPriority w:val="39"/>
    <w:rsid w:val="00A13F2E"/>
    <w:rPr>
      <w:rFonts w:asciiTheme="minorHAnsi" w:eastAsiaTheme="minorEastAsia" w:hAnsiTheme="minorHAnsi" w:cstheme="minorBidi"/>
      <w:sz w:val="22"/>
      <w:szCs w:val="22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3272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 Angelica Gomez Rodriguez</cp:lastModifiedBy>
  <cp:revision>3</cp:revision>
  <dcterms:created xsi:type="dcterms:W3CDTF">2026-07-18T15:58:00Z</dcterms:created>
  <dcterms:modified xsi:type="dcterms:W3CDTF">2026-07-18T15:59:00Z</dcterms:modified>
</cp:coreProperties>
</file>