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rFonts w:ascii="Arial" w:cs="Arial" w:eastAsia="Arial" w:hAnsi="Arial"/>
          <w:b w:val="1"/>
          <w:bCs w:val="1"/>
          <w:color w:val="000000"/>
          <w:sz w:val="24"/>
          <w:szCs w:val="24"/>
        </w:rPr>
      </w:pPr>
      <w:r w:rsidDel="00000000" w:rsidR="00000000" w:rsidRPr="00000000">
        <w:rPr>
          <w:rFonts w:ascii="Arial" w:cs="Arial" w:eastAsia="Arial" w:hAnsi="Arial"/>
          <w:b w:val="1"/>
          <w:bCs w:val="1"/>
          <w:color w:val="000000"/>
          <w:sz w:val="24"/>
          <w:szCs w:val="24"/>
          <w:rtl w:val="0"/>
        </w:rPr>
        <w:t xml:space="preserve">1.Introducción</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Los Trastornos Hipertensivos Asociados al Embarazo (THAE) constituyen una de las principales causas de morbimortalidad materna y perinatal a nivel global y nacional. A escala mundial, la preeclampsia y la eclampsia son responsables de aproximadamente el 14% de las muertes maternas directas, con una carga desproporcionada en países de ingresos medios y bajos. En Colombia, los THAE ocupan el segundo lugar entre las causas directas de mortalidad materna, siendo la preeclampsia con criterios de severidad y la eclampsia las formas más letales y prevenibles del espectro.</w:t>
      </w:r>
    </w:p>
    <w:p w:rsidR="00000000" w:rsidDel="00000000" w:rsidP="00000000" w:rsidRDefault="00000000" w:rsidRPr="00000000" w14:paraId="00000004">
      <w:pPr>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El principal determinante de los desenlaces fatales no es la gravedad intrínseca de la patología, sino la demora en el reconocimiento de los criterios de severidad y la instauración tardía del manejo inicial: la impregnación con sulfato de magnesio para la profilaxis de convulsiones y el control oportuno de las crisis hipertensivas severas. Esta brecha se amplifica significativamente en instituciones de baja complejidad, entornos rurales dispersos y regiones con acceso limitado a especialistas en ginecología y obstetricia.</w:t>
      </w:r>
    </w:p>
    <w:p w:rsidR="00000000" w:rsidDel="00000000" w:rsidP="00000000" w:rsidRDefault="00000000" w:rsidRPr="00000000" w14:paraId="00000005">
      <w:pPr>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La implementación de la teleexperticia sincrónica permite conectar, en tiempo real, a los profesionales de la salud en áreas dispersas o instituciones de baja complejidad (centros remisores) con especialistas en Ginecología y Obstetricia o Medicina Materno-Fetal (centros referentes como el Hospital Universitario Nacional de Colombia - HUN). Este protocolo estandariza el proceder clínico y administrativo para mitigar la variabilidad en la atención, optimizar la toma de decisiones críticas in situ y coordinar remisiones oportunas y seguras.</w:t>
      </w:r>
    </w:p>
    <w:p w:rsidR="00000000" w:rsidDel="00000000" w:rsidP="00000000" w:rsidRDefault="00000000" w:rsidRPr="00000000" w14:paraId="00000006">
      <w:pPr>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Este documento no sustituye las Guías de Práctica Clínica nacionales e internacionales vigentes; su propósito es complementarlas y operacionalizarlas en el contexto específico de la teleexperticia institucional.</w:t>
      </w:r>
    </w:p>
    <w:p w:rsidR="00000000" w:rsidDel="00000000" w:rsidP="00000000" w:rsidRDefault="00000000" w:rsidRPr="00000000" w14:paraId="00000007">
      <w:pPr>
        <w:pStyle w:val="Heading1"/>
        <w:rPr>
          <w:rFonts w:ascii="Arial" w:cs="Arial" w:eastAsia="Arial" w:hAnsi="Arial"/>
          <w:b w:val="1"/>
          <w:bCs w:val="1"/>
          <w:color w:val="000000"/>
          <w:sz w:val="24"/>
          <w:szCs w:val="24"/>
        </w:rPr>
      </w:pPr>
      <w:r w:rsidDel="00000000" w:rsidR="00000000" w:rsidRPr="00000000">
        <w:rPr>
          <w:rFonts w:ascii="Arial" w:cs="Arial" w:eastAsia="Arial" w:hAnsi="Arial"/>
          <w:b w:val="1"/>
          <w:bCs w:val="1"/>
          <w:color w:val="000000"/>
          <w:sz w:val="24"/>
          <w:szCs w:val="24"/>
          <w:rtl w:val="0"/>
        </w:rPr>
        <w:t xml:space="preserve">2. Objetivo General</w:t>
      </w:r>
    </w:p>
    <w:p w:rsidR="00000000" w:rsidDel="00000000" w:rsidP="00000000" w:rsidRDefault="00000000" w:rsidRPr="00000000" w14:paraId="00000008">
      <w:pPr>
        <w:rPr>
          <w:rFonts w:ascii="Arial" w:cs="Arial" w:eastAsia="Arial" w:hAnsi="Arial"/>
          <w:color w:val="000000"/>
        </w:rPr>
      </w:pPr>
      <w:r w:rsidDel="00000000" w:rsidR="00000000" w:rsidRPr="00000000">
        <w:rPr>
          <w:rtl w:val="0"/>
        </w:rPr>
      </w:r>
    </w:p>
    <w:p w:rsidR="00000000" w:rsidDel="00000000" w:rsidP="00000000" w:rsidRDefault="00000000" w:rsidRPr="00000000" w14:paraId="00000009">
      <w:pPr>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Optimizar la respuesta clínica y la toma de decisiones terapéuticas ante los Trastornos Hipertensivos Asociados al Embarazo mediante la modalidad de teleexperticia sincrónica, facilitando la interacción especializada entre el profesional de salud en el sitio de atención (remisor) y el médico especialista en ginecología y obstetricia (referente), con el fin de garantizar una intervención oportuna, segura y basada en la evidencia que reduzca la morbimortalidad materna y perinatal en entornos de baja complejidad o difícil acceso.</w:t>
      </w:r>
    </w:p>
    <w:p w:rsidR="00000000" w:rsidDel="00000000" w:rsidP="00000000" w:rsidRDefault="00000000" w:rsidRPr="00000000" w14:paraId="0000000A">
      <w:pPr>
        <w:pStyle w:val="Heading1"/>
        <w:rPr>
          <w:rFonts w:ascii="Arial" w:cs="Arial" w:eastAsia="Arial" w:hAnsi="Arial"/>
          <w:b w:val="1"/>
          <w:bCs w:val="1"/>
          <w:color w:val="000000"/>
          <w:sz w:val="24"/>
          <w:szCs w:val="24"/>
        </w:rPr>
      </w:pPr>
      <w:r w:rsidDel="00000000" w:rsidR="00000000" w:rsidRPr="00000000">
        <w:rPr>
          <w:rFonts w:ascii="Arial" w:cs="Arial" w:eastAsia="Arial" w:hAnsi="Arial"/>
          <w:b w:val="1"/>
          <w:bCs w:val="1"/>
          <w:color w:val="000000"/>
          <w:sz w:val="24"/>
          <w:szCs w:val="24"/>
          <w:rtl w:val="0"/>
        </w:rPr>
        <w:t xml:space="preserve">3. Objetivos Específicos</w:t>
      </w:r>
    </w:p>
    <w:p w:rsidR="00000000" w:rsidDel="00000000" w:rsidP="00000000" w:rsidRDefault="00000000" w:rsidRPr="00000000" w14:paraId="0000000B">
      <w:pPr>
        <w:rPr>
          <w:rFonts w:ascii="Arial" w:cs="Arial" w:eastAsia="Arial" w:hAnsi="Arial"/>
          <w:color w:val="000000"/>
        </w:rPr>
      </w:pPr>
      <w:r w:rsidDel="00000000" w:rsidR="00000000" w:rsidRPr="00000000">
        <w:rPr>
          <w:rtl w:val="0"/>
        </w:rPr>
      </w:r>
    </w:p>
    <w:p w:rsidR="00000000" w:rsidDel="00000000" w:rsidP="00000000" w:rsidRDefault="00000000" w:rsidRPr="00000000" w14:paraId="000000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sdt>
        <w:sdtPr>
          <w:id w:val="1866135550"/>
          <w:tag w:val="goog_rdk_0"/>
        </w:sdtPr>
        <w:sdtContent>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Estandarizar el triage y la activación de la intervención experta: definir los criterios clínicos y paraclínicos específicos (basados en la Resolución 3280) que obligan a la activación de la teleexperticia sincrónica, garantizando que la consulta con el especialista ocurra ante la primera identificación de cifras de tensión arterial severa (≥ 160/110 mmHg) o signos de compromiso de órgano blanco.</w:t>
          </w:r>
        </w:sdtContent>
      </w:sdt>
    </w:p>
    <w:p w:rsidR="00000000" w:rsidDel="00000000" w:rsidP="00000000" w:rsidRDefault="00000000" w:rsidRPr="00000000" w14:paraId="000000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Sincronizar el manejo farmacológico crítico en tiempo real: establecer un canal de comunicación bidireccional que permita al especialista referente guiar al médico general o enfermera remisor en la dosificación e impregnación precisa con sulfato de magnesio y el uso escalonado de antihipertensivos de crisis, minimizando errores de medicación durante la emergencia.</w:t>
      </w:r>
    </w:p>
    <w:p w:rsidR="00000000" w:rsidDel="00000000" w:rsidP="00000000" w:rsidRDefault="00000000" w:rsidRPr="00000000" w14:paraId="000000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Optimizar la vigilancia de la neuroprotección y la maduración pulmonar: protocolizar la asistencia remota para la toma de decisiones sobre la administración de corticoides para la maduración pulmonar fetal y sulfato de magnesio para la neuroprotección, según la edad gestacional y la estabilidad hemodinámica de la gestante.</w:t>
      </w:r>
    </w:p>
    <w:p w:rsidR="00000000" w:rsidDel="00000000" w:rsidP="00000000" w:rsidRDefault="00000000" w:rsidRPr="00000000" w14:paraId="000000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Delimitar responsabilidades y soporte jurídico-clínico: precisar de forma unívoca en el registro de la historia clínica los roles del profesional presencial (responsable de la ejecución de maniobras) y del especialista remoto (responsable del asesoramiento fundamentado), asegurando la trazabilidad de las decisiones durante la tele-intervención.</w:t>
      </w:r>
    </w:p>
    <w:p w:rsidR="00000000" w:rsidDel="00000000" w:rsidP="00000000" w:rsidRDefault="00000000" w:rsidRPr="00000000" w14:paraId="000000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Coordinar el traslado seguro bajo supervisión especializada: gestionar a través de la teleexperticia los criterios de estabilización mínima necesaria para el transporte medicalizado hacia niveles de mayor complejidad, asegurando que la paciente no sea trasladada sin un control previo de la crisis hipertensiva o el inicio de la profilaxis de convulsiones.</w:t>
      </w:r>
    </w:p>
    <w:p w:rsidR="00000000" w:rsidDel="00000000" w:rsidP="00000000" w:rsidRDefault="00000000" w:rsidRPr="00000000" w14:paraId="000000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Fortalecer la capacidad resolutiva del nivel primario: utilizar la interacción de teleexperticia como espacio de formación continua en el puesto de trabajo (point-of-care learning), donde el profesional remisor adquiera competencias </w:t>
      </w:r>
    </w:p>
    <w:p w:rsidR="00000000" w:rsidDel="00000000" w:rsidP="00000000" w:rsidRDefault="00000000" w:rsidRPr="00000000" w14:paraId="000000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avanzadas en el manejo de la emergencia obstétrica mediada por el experto.</w:t>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36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5">
      <w:pPr>
        <w:pStyle w:val="Heading1"/>
        <w:rPr>
          <w:rFonts w:ascii="Arial" w:cs="Arial" w:eastAsia="Arial" w:hAnsi="Arial"/>
          <w:b w:val="1"/>
          <w:bCs w:val="1"/>
          <w:color w:val="000000"/>
          <w:sz w:val="24"/>
          <w:szCs w:val="24"/>
        </w:rPr>
      </w:pPr>
      <w:r w:rsidDel="00000000" w:rsidR="00000000" w:rsidRPr="00000000">
        <w:rPr>
          <w:rFonts w:ascii="Arial" w:cs="Arial" w:eastAsia="Arial" w:hAnsi="Arial"/>
          <w:b w:val="1"/>
          <w:bCs w:val="1"/>
          <w:color w:val="000000"/>
          <w:sz w:val="24"/>
          <w:szCs w:val="24"/>
          <w:rtl w:val="0"/>
        </w:rPr>
        <w:t xml:space="preserve">4. Alcance</w:t>
      </w:r>
    </w:p>
    <w:p w:rsidR="00000000" w:rsidDel="00000000" w:rsidP="00000000" w:rsidRDefault="00000000" w:rsidRPr="00000000" w14:paraId="00000016">
      <w:pPr>
        <w:rPr>
          <w:rFonts w:ascii="Arial" w:cs="Arial" w:eastAsia="Arial" w:hAnsi="Arial"/>
          <w:color w:val="000000"/>
        </w:rPr>
      </w:pPr>
      <w:r w:rsidDel="00000000" w:rsidR="00000000" w:rsidRPr="00000000">
        <w:rPr>
          <w:rtl w:val="0"/>
        </w:rPr>
      </w:r>
    </w:p>
    <w:p w:rsidR="00000000" w:rsidDel="00000000" w:rsidP="00000000" w:rsidRDefault="00000000" w:rsidRPr="00000000" w14:paraId="00000017">
      <w:pPr>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El presente protocolo tiene un radio de acción integral definido bajo los siguientes ejes:</w:t>
      </w:r>
    </w:p>
    <w:p w:rsidR="00000000" w:rsidDel="00000000" w:rsidP="00000000" w:rsidRDefault="00000000" w:rsidRPr="00000000" w14:paraId="00000018">
      <w:pPr>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Alcance poblacional: aplica a todas las mujeres gestantes con edad gestacional mayor a 20 semanas, pacientes en trabajo de parto y mujeres en período de puerperio (hasta los 42 días posparto) que sean atendidas en la red de servicios de salud y presenten criterios diagnósticos de hipertensión gestacional, preeclampsia (con o sin criterios de severidad), eclampsia, síndrome HELLP o hipertensión crónica con preeclampsia sobre agregada.</w:t>
      </w:r>
    </w:p>
    <w:p w:rsidR="00000000" w:rsidDel="00000000" w:rsidP="00000000" w:rsidRDefault="00000000" w:rsidRPr="00000000" w14:paraId="00000019">
      <w:pPr>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Alcance prestacional (territorial): inicia en las Instituciones Prestadoras de Salud (IPS) de baja complejidad o servicios de atención primaria (remisores) que cuenten con servicios de consulta externa, urgencias u hospitalización obstétrica, y se extiende hasta la interacción con el nivel de mayor complejidad (referente) que disponga de la especialidad de Ginecología y Obstetricia o Medicina Materno-Fetal.</w:t>
      </w:r>
    </w:p>
    <w:p w:rsidR="00000000" w:rsidDel="00000000" w:rsidP="00000000" w:rsidRDefault="00000000" w:rsidRPr="00000000" w14:paraId="0000001A">
      <w:pPr>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Alcance clínico-asistencial: comprende la validación diagnóstica mediante interpretación remota de paraclínicos y signos vitales; la asesoría en la instauración de esquemas de crisis (antihipertensivos y sulfato de magnesio); la determinación de la conducta de finalización de la gestación versus manejo expectante; y la coordinación de la logística de transporte crítico para garantizar una remisión sin solución de continuidad en el cuidado.</w:t>
      </w:r>
    </w:p>
    <w:p w:rsidR="00000000" w:rsidDel="00000000" w:rsidP="00000000" w:rsidRDefault="00000000" w:rsidRPr="00000000" w14:paraId="0000001B">
      <w:pPr>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Alcance tecnológico: se limita a la provisión de servicios mediante teleexperticia sincrónica (en tiempo real), utilizando plataformas de comunicación de audio y video de alta definición que cumplan con los estándares de seguridad de datos, privacidad y reserva de la historia clínica, según la normativa vigente en salud digital.</w:t>
      </w:r>
    </w:p>
    <w:p w:rsidR="00000000" w:rsidDel="00000000" w:rsidP="00000000" w:rsidRDefault="00000000" w:rsidRPr="00000000" w14:paraId="0000001C">
      <w:pPr>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Exclusiones: este protocolo no sustituye el juicio clínico del profesional presencial en maniobras físicas de reanimación inmediata ni en intervenciones quirúrgicas de urgencia que no puedan esperar la conexión, aunque el experto pueda brindar soporte consultivo durante las mismas.</w:t>
      </w:r>
    </w:p>
    <w:p w:rsidR="00000000" w:rsidDel="00000000" w:rsidP="00000000" w:rsidRDefault="00000000" w:rsidRPr="00000000" w14:paraId="0000001D">
      <w:pPr>
        <w:pStyle w:val="Heading1"/>
        <w:rPr>
          <w:rFonts w:ascii="Arial" w:cs="Arial" w:eastAsia="Arial" w:hAnsi="Arial"/>
          <w:b w:val="1"/>
          <w:bCs w:val="1"/>
          <w:color w:val="000000"/>
          <w:sz w:val="24"/>
          <w:szCs w:val="24"/>
        </w:rPr>
      </w:pPr>
      <w:r w:rsidDel="00000000" w:rsidR="00000000" w:rsidRPr="00000000">
        <w:rPr>
          <w:rFonts w:ascii="Arial" w:cs="Arial" w:eastAsia="Arial" w:hAnsi="Arial"/>
          <w:b w:val="1"/>
          <w:bCs w:val="1"/>
          <w:color w:val="000000"/>
          <w:sz w:val="24"/>
          <w:szCs w:val="24"/>
          <w:rtl w:val="0"/>
        </w:rPr>
        <w:t xml:space="preserve">5. Marco Normativo</w:t>
      </w:r>
    </w:p>
    <w:p w:rsidR="00000000" w:rsidDel="00000000" w:rsidP="00000000" w:rsidRDefault="00000000" w:rsidRPr="00000000" w14:paraId="0000001E">
      <w:pPr>
        <w:rPr>
          <w:rFonts w:ascii="Arial" w:cs="Arial" w:eastAsia="Arial" w:hAnsi="Arial"/>
          <w:color w:val="000000"/>
        </w:rPr>
      </w:pPr>
      <w:r w:rsidDel="00000000" w:rsidR="00000000" w:rsidRPr="00000000">
        <w:rPr>
          <w:rtl w:val="0"/>
        </w:rPr>
      </w:r>
    </w:p>
    <w:p w:rsidR="00000000" w:rsidDel="00000000" w:rsidP="00000000" w:rsidRDefault="00000000" w:rsidRPr="00000000" w14:paraId="0000001F">
      <w:pPr>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Normatividad en telesalud y telemedicina en Colombia:</w:t>
      </w:r>
    </w:p>
    <w:p w:rsidR="00000000" w:rsidDel="00000000" w:rsidP="00000000" w:rsidRDefault="00000000" w:rsidRPr="00000000" w14:paraId="000000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Resolución 2654 de 2019 (Ministerio de Salud y Protección Social): regula la telesalud y la telemedicina en Colombia, estableciendo las disposiciones para su práctica, parámetros operativos y responsabilidades institucionales.</w:t>
      </w:r>
    </w:p>
    <w:p w:rsidR="00000000" w:rsidDel="00000000" w:rsidP="00000000" w:rsidRDefault="00000000" w:rsidRPr="00000000" w14:paraId="000000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Resolución 3100 de 2019 (Ministerio de Salud y Protección Social): define los procedimientos y condiciones de inscripción de los Prestadores de Servicios de Salud y de habilitación de los servicios en el país.</w:t>
      </w:r>
    </w:p>
    <w:p w:rsidR="00000000" w:rsidDel="00000000" w:rsidP="00000000" w:rsidRDefault="00000000" w:rsidRPr="00000000" w14:paraId="000000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Ley 1419 de 2010: establece los lineamientos y principios para el desarrollo de la Telesalud en Colombia.</w:t>
      </w:r>
    </w:p>
    <w:p w:rsidR="00000000" w:rsidDel="00000000" w:rsidP="00000000" w:rsidRDefault="00000000" w:rsidRPr="00000000" w14:paraId="000000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Ley 1581 de 2012: dicta las disposiciones generales para la protección de datos personales (Habeas Data) y el tratamiento de información sensible en salud.</w:t>
      </w:r>
    </w:p>
    <w:p w:rsidR="00000000" w:rsidDel="00000000" w:rsidP="00000000" w:rsidRDefault="00000000" w:rsidRPr="00000000" w14:paraId="000000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Decreto 538 de 2020: adopta medidas para garantizar el acceso y la continuidad en la prestación de servicios de salud bajo modalidades de telemedicina Durante emergencias sanitarias.</w:t>
      </w:r>
    </w:p>
    <w:p w:rsidR="00000000" w:rsidDel="00000000" w:rsidP="00000000" w:rsidRDefault="00000000" w:rsidRPr="00000000" w14:paraId="000000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36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Guías del Ministerio de Salud y Protección Social en Telesalud: directrices técnicas complementarias para la implementación de servicios digitales en salud.</w:t>
      </w:r>
    </w:p>
    <w:p w:rsidR="00000000" w:rsidDel="00000000" w:rsidP="00000000" w:rsidRDefault="00000000" w:rsidRPr="00000000" w14:paraId="00000026">
      <w:pPr>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Soporte normativo y técnico-clínico obstétrico:</w:t>
      </w:r>
    </w:p>
    <w:p w:rsidR="00000000" w:rsidDel="00000000" w:rsidP="00000000" w:rsidRDefault="00000000" w:rsidRPr="00000000" w14:paraId="000000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Resolución 3280 de 2018 (MinSalud): lineamientos técnicos y operativos de la Ruta Integral de Atención en Salud Materno-Perinatal (RIAMP). Obliga al tamizaje preventivo y define los parámetros del control prenatal de alto riesgo.</w:t>
      </w:r>
    </w:p>
    <w:p w:rsidR="00000000" w:rsidDel="00000000" w:rsidP="00000000" w:rsidRDefault="00000000" w:rsidRPr="00000000" w14:paraId="000000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36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Guía de Práctica Clínica (GPC) para la prevención, diagnóstico y tratamiento de los trastornos hipertensivos del embarazo: documento emitido por el Ministerio de Salud y Protección Social junto con Colciencias para la estandarización clínica nacional.</w:t>
      </w:r>
    </w:p>
    <w:p w:rsidR="00000000" w:rsidDel="00000000" w:rsidP="00000000" w:rsidRDefault="00000000" w:rsidRPr="00000000" w14:paraId="00000029">
      <w:pPr>
        <w:pStyle w:val="Heading1"/>
        <w:rPr>
          <w:rFonts w:ascii="Arial" w:cs="Arial" w:eastAsia="Arial" w:hAnsi="Arial"/>
          <w:b w:val="1"/>
          <w:bCs w:val="1"/>
          <w:color w:val="000000"/>
          <w:sz w:val="24"/>
          <w:szCs w:val="24"/>
        </w:rPr>
      </w:pPr>
      <w:r w:rsidDel="00000000" w:rsidR="00000000" w:rsidRPr="00000000">
        <w:rPr>
          <w:rFonts w:ascii="Arial" w:cs="Arial" w:eastAsia="Arial" w:hAnsi="Arial"/>
          <w:b w:val="1"/>
          <w:bCs w:val="1"/>
          <w:color w:val="000000"/>
          <w:sz w:val="24"/>
          <w:szCs w:val="24"/>
          <w:rtl w:val="0"/>
        </w:rPr>
        <w:t xml:space="preserve">6. Definiciones.</w:t>
      </w:r>
    </w:p>
    <w:p w:rsidR="00000000" w:rsidDel="00000000" w:rsidP="00000000" w:rsidRDefault="00000000" w:rsidRPr="00000000" w14:paraId="0000002A">
      <w:pPr>
        <w:rPr>
          <w:rFonts w:ascii="Arial" w:cs="Arial" w:eastAsia="Arial" w:hAnsi="Arial"/>
          <w:color w:val="000000"/>
        </w:rPr>
      </w:pPr>
      <w:r w:rsidDel="00000000" w:rsidR="00000000" w:rsidRPr="00000000">
        <w:rPr>
          <w:rtl w:val="0"/>
        </w:rPr>
      </w:r>
    </w:p>
    <w:p w:rsidR="00000000" w:rsidDel="00000000" w:rsidP="00000000" w:rsidRDefault="00000000" w:rsidRPr="00000000" w14:paraId="0000002B">
      <w:pPr>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Telesalud: conjunto de actividades relacionadas con la salud, servicios y métodos que se llevan a cabo a distancia con la ayuda de las tecnologías de la información y telecomunicaciones. Incluye, entre otras, la Telemedicina y la Teleeducación en salud.</w:t>
      </w:r>
    </w:p>
    <w:p w:rsidR="00000000" w:rsidDel="00000000" w:rsidP="00000000" w:rsidRDefault="00000000" w:rsidRPr="00000000" w14:paraId="0000002C">
      <w:pPr>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Teleapoyo: soporte solicitado por un profesional de la salud a otro profesional de la salud a través de tecnologías de la información y comunicaciones en el marco del relacionamiento entre prestadores.</w:t>
      </w:r>
    </w:p>
    <w:p w:rsidR="00000000" w:rsidDel="00000000" w:rsidP="00000000" w:rsidRDefault="00000000" w:rsidRPr="00000000" w14:paraId="0000002D">
      <w:pPr>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Teleexperticia: relación a distancia con método de comunicación sincrónico o asincrónico para la provisión de servicios de salud en cualquiera de sus componentes, utilizando tecnologías de información y comunicación entre: a) dos profesionales de la salud, uno de los cuales atiende presencialmente al usuario y otro a distancia —el profesional presencial es responsable del tratamiento y el que atiende a distancia actúa como apoyo o asesor—; b) profesionales de la salud que en junta médica realizan una interconsulta o asesoría; c) personal de salud no profesional que solicita el apoyo de un profesional para la toma de decisiones.</w:t>
      </w:r>
    </w:p>
    <w:p w:rsidR="00000000" w:rsidDel="00000000" w:rsidP="00000000" w:rsidRDefault="00000000" w:rsidRPr="00000000" w14:paraId="0000002E">
      <w:pPr>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Teleexperticia sincrónica: relación médico-médico realizada en tiempo real, donde un profesional de salud en el sitio de atención (Remisor) consulta a un especialista (Referente) a través de tecnologías de información para la toma de decisiones clínicas inmediatas.</w:t>
      </w:r>
    </w:p>
    <w:p w:rsidR="00000000" w:rsidDel="00000000" w:rsidP="00000000" w:rsidRDefault="00000000" w:rsidRPr="00000000" w14:paraId="0000002F">
      <w:pPr>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Trastornos Hipertensivos Asociados al Embarazo (THAE): espectro patológico multisistémico que se presenta después de la semana 20 de gestación, durante el parto o en el puerperio, caracterizado por una respuesta vascular anómala a la placentación que deriva en hipertensión arterial y daño endotelial.</w:t>
      </w:r>
    </w:p>
    <w:p w:rsidR="00000000" w:rsidDel="00000000" w:rsidP="00000000" w:rsidRDefault="00000000" w:rsidRPr="00000000" w14:paraId="00000030">
      <w:pPr>
        <w:rPr>
          <w:rFonts w:ascii="Arial" w:cs="Arial" w:eastAsia="Arial" w:hAnsi="Arial"/>
          <w:color w:val="000000"/>
          <w:sz w:val="24"/>
          <w:szCs w:val="24"/>
        </w:rPr>
      </w:pPr>
      <w:sdt>
        <w:sdtPr>
          <w:id w:val="-1764645630"/>
          <w:tag w:val="goog_rdk_1"/>
        </w:sdtPr>
        <w:sdtContent>
          <w:r w:rsidDel="00000000" w:rsidR="00000000" w:rsidRPr="00000000">
            <w:rPr>
              <w:rFonts w:ascii="Arial Unicode MS" w:cs="Arial Unicode MS" w:eastAsia="Arial Unicode MS" w:hAnsi="Arial Unicode MS"/>
              <w:color w:val="000000"/>
              <w:sz w:val="24"/>
              <w:szCs w:val="24"/>
              <w:rtl w:val="0"/>
            </w:rPr>
            <w:t xml:space="preserve">Preeclampsia (PE): cifras de tensión arterial mayores o iguales a 140/90 mmHg en dos tomas con 4 horas de diferencia, o una sola toma mayor o igual a 160/110 mmHg, acompañada de proteinuria (≥ 300 mg en 24 h o relación proteína/creatinina ≥ 0,3). En ausencia de proteinuria, se define por la presencia de disfunción orgánica (renal, hepática, hematológica, neurológica o feto-placentaria).</w:t>
          </w:r>
        </w:sdtContent>
      </w:sdt>
    </w:p>
    <w:p w:rsidR="00000000" w:rsidDel="00000000" w:rsidP="00000000" w:rsidRDefault="00000000" w:rsidRPr="00000000" w14:paraId="00000031">
      <w:pPr>
        <w:rPr>
          <w:rFonts w:ascii="Arial" w:cs="Arial" w:eastAsia="Arial" w:hAnsi="Arial"/>
          <w:color w:val="000000"/>
          <w:sz w:val="24"/>
          <w:szCs w:val="24"/>
        </w:rPr>
      </w:pPr>
      <w:sdt>
        <w:sdtPr>
          <w:id w:val="631752502"/>
          <w:tag w:val="goog_rdk_2"/>
        </w:sdtPr>
        <w:sdtContent>
          <w:r w:rsidDel="00000000" w:rsidR="00000000" w:rsidRPr="00000000">
            <w:rPr>
              <w:rFonts w:ascii="Arial Unicode MS" w:cs="Arial Unicode MS" w:eastAsia="Arial Unicode MS" w:hAnsi="Arial Unicode MS"/>
              <w:color w:val="000000"/>
              <w:sz w:val="24"/>
              <w:szCs w:val="24"/>
              <w:rtl w:val="0"/>
            </w:rPr>
            <w:t xml:space="preserve">Preeclampsia con criterios de severidad: aquella que presenta uno o más de los siguientes marcadores de peligro: TAS ≥ 160 mmHg o TAD ≥ 110 mmHg; trombocitopenia (&lt; 100.000/mm³); disfunción hepática (transaminasas al doble de lo normal); insuficiencia renal progresiva (creatinina &gt; 1,1 mg/dL); edema pulmonar; o alteraciones visuales/cerebrales (fotopsias, escotomas, cefalea intratable).</w:t>
          </w:r>
        </w:sdtContent>
      </w:sdt>
    </w:p>
    <w:p w:rsidR="00000000" w:rsidDel="00000000" w:rsidP="00000000" w:rsidRDefault="00000000" w:rsidRPr="00000000" w14:paraId="00000032">
      <w:pPr>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Eclampsia: manifestación convulsiva tónico-clónica generalizada, de aparición nueva, no atribuible a otras causas (epilepsia, ACV), en una paciente con preeclampsia. Constituye una emergencia obstétrica extrema.</w:t>
      </w:r>
    </w:p>
    <w:p w:rsidR="00000000" w:rsidDel="00000000" w:rsidP="00000000" w:rsidRDefault="00000000" w:rsidRPr="00000000" w14:paraId="00000033">
      <w:pPr>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Síndrome HELLP: variante de gravedad extrema de la preeclampsia caracterizada por hemólisis (H), elevación de enzimas hepáticas (EL) y plaquetopenia (LP). Requiere manejo de alta complejidad de forma inmediata.</w:t>
      </w:r>
    </w:p>
    <w:p w:rsidR="00000000" w:rsidDel="00000000" w:rsidP="00000000" w:rsidRDefault="00000000" w:rsidRPr="00000000" w14:paraId="00000034">
      <w:pPr>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Ventana de oportunidad (minutos de oro): período crítico desde la detección de una cifra tensional severa hasta el inicio del tratamiento antihipertensivo y la profilaxis con sulfato de magnesio. El objetivo institucional es que no supere los 15 a 30 minutos.</w:t>
      </w:r>
    </w:p>
    <w:p w:rsidR="00000000" w:rsidDel="00000000" w:rsidP="00000000" w:rsidRDefault="00000000" w:rsidRPr="00000000" w14:paraId="00000035">
      <w:pPr>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Farmacología crítica soportada por el protocolo:</w:t>
      </w:r>
    </w:p>
    <w:p w:rsidR="00000000" w:rsidDel="00000000" w:rsidP="00000000" w:rsidRDefault="00000000" w:rsidRPr="00000000" w14:paraId="000000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Sulfato de Magnesio (MgSO4) — Esquema de impregnación: dosis inicial de 4 a 6 g IV en 20 minutos. Mantenimiento: infusión continua de 1 a 2 g/h bajo vigilancia de reflejos, diuresis y frecuencia respiratoria.</w:t>
      </w:r>
    </w:p>
    <w:p w:rsidR="00000000" w:rsidDel="00000000" w:rsidP="00000000" w:rsidRDefault="00000000" w:rsidRPr="00000000" w14:paraId="000000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sdt>
        <w:sdtPr>
          <w:id w:val="1634174256"/>
          <w:tag w:val="goog_rdk_3"/>
        </w:sdtPr>
        <w:sdtContent>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Labetalol (crisis ≥ 160/110 mmHg): bolo inicial de 20 mg IV, seguido de bolos incrementales de 40 a 80 mg cada 10 a 15 minutos (máximo 300 mg).</w:t>
          </w:r>
        </w:sdtContent>
      </w:sdt>
    </w:p>
    <w:p w:rsidR="00000000" w:rsidDel="00000000" w:rsidP="00000000" w:rsidRDefault="00000000" w:rsidRPr="00000000" w14:paraId="000000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Nifedipina: 10 mg vía oral (evitar estrictamente la vía sublingual) cada 20 minutos (máximo 60 mg).</w:t>
      </w:r>
    </w:p>
    <w:p w:rsidR="00000000" w:rsidDel="00000000" w:rsidP="00000000" w:rsidRDefault="00000000" w:rsidRPr="00000000" w14:paraId="000000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Hidralazina: 5 a 10 mg IV cada 20 minutos (máximo 20 mg).</w:t>
      </w:r>
    </w:p>
    <w:p w:rsidR="00000000" w:rsidDel="00000000" w:rsidP="00000000" w:rsidRDefault="00000000" w:rsidRPr="00000000" w14:paraId="0000003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Maduración pulmonar fetal (semanas 24 0/7 a 34 6/7): Betametasona 12 mg IM cada 24 h (2 dosis) o Dexametasona 6 mg IM cada 12 h (4 dosis).</w:t>
      </w:r>
    </w:p>
    <w:p w:rsidR="00000000" w:rsidDel="00000000" w:rsidP="00000000" w:rsidRDefault="00000000" w:rsidRPr="00000000" w14:paraId="000000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36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Tromboprofilaxis farmacológica: Enoxaparina 40 mg SC cada 24 h, especialmente en el contexto intrahospitalario y Durante el puerperio patológico.</w:t>
      </w:r>
    </w:p>
    <w:p w:rsidR="00000000" w:rsidDel="00000000" w:rsidP="00000000" w:rsidRDefault="00000000" w:rsidRPr="00000000" w14:paraId="0000003C">
      <w:pPr>
        <w:pStyle w:val="Heading1"/>
        <w:rPr>
          <w:rFonts w:ascii="Arial" w:cs="Arial" w:eastAsia="Arial" w:hAnsi="Arial"/>
          <w:b w:val="1"/>
          <w:bCs w:val="1"/>
          <w:color w:val="000000"/>
          <w:sz w:val="24"/>
          <w:szCs w:val="24"/>
        </w:rPr>
      </w:pPr>
      <w:r w:rsidDel="00000000" w:rsidR="00000000" w:rsidRPr="00000000">
        <w:rPr>
          <w:rFonts w:ascii="Arial" w:cs="Arial" w:eastAsia="Arial" w:hAnsi="Arial"/>
          <w:b w:val="1"/>
          <w:bCs w:val="1"/>
          <w:color w:val="000000"/>
          <w:sz w:val="24"/>
          <w:szCs w:val="24"/>
          <w:rtl w:val="0"/>
        </w:rPr>
        <w:t xml:space="preserve">7. Flujo Operativo y Clínico en Telesalud.</w:t>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rFonts w:ascii="Arial" w:cs="Arial" w:eastAsia="Arial" w:hAnsi="Arial"/>
          <w:color w:val="000000"/>
        </w:rPr>
      </w:pPr>
      <w:r w:rsidDel="00000000" w:rsidR="00000000" w:rsidRPr="00000000">
        <w:rPr>
          <w:rtl w:val="0"/>
        </w:rPr>
      </w:r>
    </w:p>
    <w:tbl>
      <w:tblPr>
        <w:tblStyle w:val="Table1"/>
        <w:tblW w:w="882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36"/>
        <w:gridCol w:w="1933"/>
        <w:gridCol w:w="1589"/>
        <w:gridCol w:w="3470"/>
        <w:tblGridChange w:id="0">
          <w:tblGrid>
            <w:gridCol w:w="1836"/>
            <w:gridCol w:w="1933"/>
            <w:gridCol w:w="1589"/>
            <w:gridCol w:w="3470"/>
          </w:tblGrid>
        </w:tblGridChange>
      </w:tblGrid>
      <w:tr>
        <w:trPr>
          <w:cantSplit w:val="0"/>
          <w:tblHeader w:val="0"/>
        </w:trPr>
        <w:tc>
          <w:tcPr/>
          <w:p w:rsidR="00000000" w:rsidDel="00000000" w:rsidP="00000000" w:rsidRDefault="00000000" w:rsidRPr="00000000" w14:paraId="00000040">
            <w:pPr>
              <w:rPr>
                <w:rFonts w:ascii="Arial" w:cs="Arial" w:eastAsia="Arial" w:hAnsi="Arial"/>
                <w:color w:val="000000"/>
                <w:sz w:val="24"/>
                <w:szCs w:val="24"/>
              </w:rPr>
            </w:pPr>
            <w:r w:rsidDel="00000000" w:rsidR="00000000" w:rsidRPr="00000000">
              <w:rPr>
                <w:rFonts w:ascii="Arial" w:cs="Arial" w:eastAsia="Arial" w:hAnsi="Arial"/>
                <w:b w:val="1"/>
                <w:bCs w:val="1"/>
                <w:color w:val="000000"/>
                <w:sz w:val="24"/>
                <w:szCs w:val="24"/>
                <w:rtl w:val="0"/>
              </w:rPr>
              <w:t xml:space="preserve">Etapa</w:t>
            </w:r>
            <w:r w:rsidDel="00000000" w:rsidR="00000000" w:rsidRPr="00000000">
              <w:rPr>
                <w:rtl w:val="0"/>
              </w:rPr>
            </w:r>
          </w:p>
        </w:tc>
        <w:tc>
          <w:tcPr/>
          <w:p w:rsidR="00000000" w:rsidDel="00000000" w:rsidP="00000000" w:rsidRDefault="00000000" w:rsidRPr="00000000" w14:paraId="00000041">
            <w:pPr>
              <w:rPr>
                <w:rFonts w:ascii="Arial" w:cs="Arial" w:eastAsia="Arial" w:hAnsi="Arial"/>
                <w:color w:val="000000"/>
                <w:sz w:val="24"/>
                <w:szCs w:val="24"/>
              </w:rPr>
            </w:pPr>
            <w:r w:rsidDel="00000000" w:rsidR="00000000" w:rsidRPr="00000000">
              <w:rPr>
                <w:rFonts w:ascii="Arial" w:cs="Arial" w:eastAsia="Arial" w:hAnsi="Arial"/>
                <w:b w:val="1"/>
                <w:bCs w:val="1"/>
                <w:color w:val="000000"/>
                <w:sz w:val="24"/>
                <w:szCs w:val="24"/>
                <w:rtl w:val="0"/>
              </w:rPr>
              <w:t xml:space="preserve">Actividad</w:t>
            </w:r>
            <w:r w:rsidDel="00000000" w:rsidR="00000000" w:rsidRPr="00000000">
              <w:rPr>
                <w:rtl w:val="0"/>
              </w:rPr>
            </w:r>
          </w:p>
        </w:tc>
        <w:tc>
          <w:tcPr/>
          <w:p w:rsidR="00000000" w:rsidDel="00000000" w:rsidP="00000000" w:rsidRDefault="00000000" w:rsidRPr="00000000" w14:paraId="00000042">
            <w:pPr>
              <w:rPr>
                <w:rFonts w:ascii="Arial" w:cs="Arial" w:eastAsia="Arial" w:hAnsi="Arial"/>
                <w:color w:val="000000"/>
                <w:sz w:val="24"/>
                <w:szCs w:val="24"/>
              </w:rPr>
            </w:pPr>
            <w:r w:rsidDel="00000000" w:rsidR="00000000" w:rsidRPr="00000000">
              <w:rPr>
                <w:rFonts w:ascii="Arial" w:cs="Arial" w:eastAsia="Arial" w:hAnsi="Arial"/>
                <w:b w:val="1"/>
                <w:bCs w:val="1"/>
                <w:color w:val="000000"/>
                <w:sz w:val="24"/>
                <w:szCs w:val="24"/>
                <w:rtl w:val="0"/>
              </w:rPr>
              <w:t xml:space="preserve">Responsable</w:t>
            </w:r>
            <w:r w:rsidDel="00000000" w:rsidR="00000000" w:rsidRPr="00000000">
              <w:rPr>
                <w:rtl w:val="0"/>
              </w:rPr>
            </w:r>
          </w:p>
        </w:tc>
        <w:tc>
          <w:tcPr/>
          <w:p w:rsidR="00000000" w:rsidDel="00000000" w:rsidP="00000000" w:rsidRDefault="00000000" w:rsidRPr="00000000" w14:paraId="00000043">
            <w:pPr>
              <w:rPr>
                <w:rFonts w:ascii="Arial" w:cs="Arial" w:eastAsia="Arial" w:hAnsi="Arial"/>
                <w:color w:val="000000"/>
                <w:sz w:val="24"/>
                <w:szCs w:val="24"/>
              </w:rPr>
            </w:pPr>
            <w:r w:rsidDel="00000000" w:rsidR="00000000" w:rsidRPr="00000000">
              <w:rPr>
                <w:rFonts w:ascii="Arial" w:cs="Arial" w:eastAsia="Arial" w:hAnsi="Arial"/>
                <w:b w:val="1"/>
                <w:bCs w:val="1"/>
                <w:color w:val="000000"/>
                <w:sz w:val="24"/>
                <w:szCs w:val="24"/>
                <w:rtl w:val="0"/>
              </w:rPr>
              <w:t xml:space="preserve">Acción / Canales</w:t>
            </w:r>
            <w:r w:rsidDel="00000000" w:rsidR="00000000" w:rsidRPr="00000000">
              <w:rPr>
                <w:rtl w:val="0"/>
              </w:rPr>
            </w:r>
          </w:p>
        </w:tc>
      </w:tr>
      <w:tr>
        <w:trPr>
          <w:cantSplit w:val="0"/>
          <w:tblHeader w:val="0"/>
        </w:trPr>
        <w:tc>
          <w:tcPr/>
          <w:p w:rsidR="00000000" w:rsidDel="00000000" w:rsidP="00000000" w:rsidRDefault="00000000" w:rsidRPr="00000000" w14:paraId="00000044">
            <w:pPr>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1. Identificación y medidas inmediatas</w:t>
            </w:r>
          </w:p>
        </w:tc>
        <w:tc>
          <w:tcPr/>
          <w:p w:rsidR="00000000" w:rsidDel="00000000" w:rsidP="00000000" w:rsidRDefault="00000000" w:rsidRPr="00000000" w14:paraId="00000045">
            <w:pPr>
              <w:rPr>
                <w:rFonts w:ascii="Arial" w:cs="Arial" w:eastAsia="Arial" w:hAnsi="Arial"/>
                <w:color w:val="000000"/>
                <w:sz w:val="24"/>
                <w:szCs w:val="24"/>
              </w:rPr>
            </w:pPr>
            <w:sdt>
              <w:sdtPr>
                <w:id w:val="1525616058"/>
                <w:tag w:val="goog_rdk_4"/>
              </w:sdtPr>
              <w:sdtContent>
                <w:r w:rsidDel="00000000" w:rsidR="00000000" w:rsidRPr="00000000">
                  <w:rPr>
                    <w:rFonts w:ascii="Arial Unicode MS" w:cs="Arial Unicode MS" w:eastAsia="Arial Unicode MS" w:hAnsi="Arial Unicode MS"/>
                    <w:color w:val="000000"/>
                    <w:sz w:val="24"/>
                    <w:szCs w:val="24"/>
                    <w:rtl w:val="0"/>
                  </w:rPr>
                  <w:t xml:space="preserve">Identificar gestante con TA ≥ 160/110 mmHg o síntomas de vasoespasmo (cefalea, fosfenos, acúfenos, epigastralgia). Declarar alerta obstétrica institucional. Canalizar dos accesos venosos periféricos de grueso calibre, colocar sonda vesical, iniciar monitoreo continuo de signos vitales y medir gasto urinario.</w:t>
                </w:r>
              </w:sdtContent>
            </w:sdt>
          </w:p>
        </w:tc>
        <w:tc>
          <w:tcPr/>
          <w:p w:rsidR="00000000" w:rsidDel="00000000" w:rsidP="00000000" w:rsidRDefault="00000000" w:rsidRPr="00000000" w14:paraId="00000046">
            <w:pPr>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Profesional asistencial presencial</w:t>
            </w:r>
          </w:p>
        </w:tc>
        <w:tc>
          <w:tcPr/>
          <w:p w:rsidR="00000000" w:rsidDel="00000000" w:rsidP="00000000" w:rsidRDefault="00000000" w:rsidRPr="00000000" w14:paraId="00000047">
            <w:pPr>
              <w:rPr>
                <w:rFonts w:ascii="Arial" w:cs="Arial" w:eastAsia="Arial" w:hAnsi="Arial"/>
                <w:color w:val="000000"/>
                <w:sz w:val="24"/>
                <w:szCs w:val="24"/>
              </w:rPr>
            </w:pPr>
            <w:sdt>
              <w:sdtPr>
                <w:id w:val="-157937019"/>
                <w:tag w:val="goog_rdk_5"/>
              </w:sdtPr>
              <w:sdtContent>
                <w:r w:rsidDel="00000000" w:rsidR="00000000" w:rsidRPr="00000000">
                  <w:rPr>
                    <w:rFonts w:ascii="Arial Unicode MS" w:cs="Arial Unicode MS" w:eastAsia="Arial Unicode MS" w:hAnsi="Arial Unicode MS"/>
                    <w:color w:val="000000"/>
                    <w:sz w:val="24"/>
                    <w:szCs w:val="24"/>
                    <w:rtl w:val="0"/>
                  </w:rPr>
                  <w:t xml:space="preserve">Aplicar de forma autónoma el Kit de Emergencia Obstétrica - THAE (Resolución 3280) si no hay conectividad disponible en menos de 5 minutos: impregnación con MgSO4 y antihipertensivos de crisis si TA ≥ 160/110 mmHg.</w:t>
                </w:r>
              </w:sdtContent>
            </w:sdt>
          </w:p>
        </w:tc>
      </w:tr>
      <w:tr>
        <w:trPr>
          <w:cantSplit w:val="0"/>
          <w:tblHeader w:val="0"/>
        </w:trPr>
        <w:tc>
          <w:tcPr/>
          <w:p w:rsidR="00000000" w:rsidDel="00000000" w:rsidP="00000000" w:rsidRDefault="00000000" w:rsidRPr="00000000" w14:paraId="00000048">
            <w:pPr>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2. Verificación y consentimiento</w:t>
            </w:r>
          </w:p>
        </w:tc>
        <w:tc>
          <w:tcPr/>
          <w:p w:rsidR="00000000" w:rsidDel="00000000" w:rsidP="00000000" w:rsidRDefault="00000000" w:rsidRPr="00000000" w14:paraId="00000049">
            <w:pPr>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Validar cumplimiento de criterios de inclusión para teleexperticia. Obtener consentimiento informado de la paciente para el uso de TIC en la atención. Explicar a la paciente y acompañantes que un especialista codirigirá la atención de manera remota desde el HUN.</w:t>
            </w:r>
          </w:p>
        </w:tc>
        <w:tc>
          <w:tcPr/>
          <w:p w:rsidR="00000000" w:rsidDel="00000000" w:rsidP="00000000" w:rsidRDefault="00000000" w:rsidRPr="00000000" w14:paraId="0000004A">
            <w:pPr>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Centro Remisor / Profesional solicitante</w:t>
            </w:r>
          </w:p>
        </w:tc>
        <w:tc>
          <w:tcPr/>
          <w:p w:rsidR="00000000" w:rsidDel="00000000" w:rsidP="00000000" w:rsidRDefault="00000000" w:rsidRPr="00000000" w14:paraId="0000004B">
            <w:pPr>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Asegurar que la información clínica esté organizada bajo el modelo SBAR (Situación, Antecedentes, Evaluación, Recomendación) antes del contacto con el referente.</w:t>
            </w:r>
          </w:p>
        </w:tc>
      </w:tr>
      <w:tr>
        <w:trPr>
          <w:cantSplit w:val="0"/>
          <w:tblHeader w:val="0"/>
        </w:trPr>
        <w:tc>
          <w:tcPr/>
          <w:p w:rsidR="00000000" w:rsidDel="00000000" w:rsidP="00000000" w:rsidRDefault="00000000" w:rsidRPr="00000000" w14:paraId="0000004C">
            <w:pPr>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3. Diligenciamiento y envío de datos</w:t>
            </w:r>
          </w:p>
        </w:tc>
        <w:tc>
          <w:tcPr/>
          <w:p w:rsidR="00000000" w:rsidDel="00000000" w:rsidP="00000000" w:rsidRDefault="00000000" w:rsidRPr="00000000" w14:paraId="0000004D">
            <w:pPr>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Notificar nombre de la paciente, edad gestacional, cifras tensionales, paraclínicos disponibles y signos de alarma al centro referente por los canales institucionales.</w:t>
            </w:r>
          </w:p>
        </w:tc>
        <w:tc>
          <w:tcPr/>
          <w:p w:rsidR="00000000" w:rsidDel="00000000" w:rsidP="00000000" w:rsidRDefault="00000000" w:rsidRPr="00000000" w14:paraId="0000004E">
            <w:pPr>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Profesional solicitante</w:t>
            </w:r>
          </w:p>
        </w:tc>
        <w:tc>
          <w:tcPr/>
          <w:p w:rsidR="00000000" w:rsidDel="00000000" w:rsidP="00000000" w:rsidRDefault="00000000" w:rsidRPr="00000000" w14:paraId="0000004F">
            <w:pPr>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Canales corporativos: líneas 3228234549 y 3228234532 — correo telemedicina.digital@hun.edu.co. Toda solicitud queda registrada en la historia clínica local con hora de inicio.</w:t>
            </w:r>
          </w:p>
        </w:tc>
      </w:tr>
      <w:tr>
        <w:trPr>
          <w:cantSplit w:val="0"/>
          <w:tblHeader w:val="0"/>
        </w:trPr>
        <w:tc>
          <w:tcPr/>
          <w:p w:rsidR="00000000" w:rsidDel="00000000" w:rsidP="00000000" w:rsidRDefault="00000000" w:rsidRPr="00000000" w14:paraId="00000050">
            <w:pPr>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4. Recepción y validación</w:t>
            </w:r>
          </w:p>
        </w:tc>
        <w:tc>
          <w:tcPr/>
          <w:p w:rsidR="00000000" w:rsidDel="00000000" w:rsidP="00000000" w:rsidRDefault="00000000" w:rsidRPr="00000000" w14:paraId="00000051">
            <w:pPr>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Recibir la información clínica, validar la pertinencia de la solicitud y establecer el enlace sincrónico de video-asistencia de alta definición. Registrar apertura de la sesión en el sistema de historia clínica.</w:t>
            </w:r>
          </w:p>
        </w:tc>
        <w:tc>
          <w:tcPr/>
          <w:p w:rsidR="00000000" w:rsidDel="00000000" w:rsidP="00000000" w:rsidRDefault="00000000" w:rsidRPr="00000000" w14:paraId="00000052">
            <w:pPr>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Centro Referente / Profesional experto</w:t>
            </w:r>
          </w:p>
        </w:tc>
        <w:tc>
          <w:tcPr/>
          <w:p w:rsidR="00000000" w:rsidDel="00000000" w:rsidP="00000000" w:rsidRDefault="00000000" w:rsidRPr="00000000" w14:paraId="00000053">
            <w:pPr>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Cargue administrativo y apertura de caso en Hosvital. Tiempo máximo de respuesta: &lt; 5 min (Categoría I), &lt; 10 min (Categoría II), &lt; 30 min (Categoría III).</w:t>
            </w:r>
          </w:p>
        </w:tc>
      </w:tr>
      <w:tr>
        <w:trPr>
          <w:cantSplit w:val="0"/>
          <w:tblHeader w:val="0"/>
        </w:trPr>
        <w:tc>
          <w:tcPr/>
          <w:p w:rsidR="00000000" w:rsidDel="00000000" w:rsidP="00000000" w:rsidRDefault="00000000" w:rsidRPr="00000000" w14:paraId="00000054">
            <w:pPr>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5. Análisis y concepto clínico</w:t>
            </w:r>
          </w:p>
        </w:tc>
        <w:tc>
          <w:tcPr/>
          <w:p w:rsidR="00000000" w:rsidDel="00000000" w:rsidP="00000000" w:rsidRDefault="00000000" w:rsidRPr="00000000" w14:paraId="00000055">
            <w:pPr>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Presentar el caso bajo modelo SBAR. El especialista realiza evaluación visual por cámara, interpreta laboratorios en tiempo real y prescribe de forma guiada: antihipertensivos, esquema de impregnación y mantenimiento de MgSO4, decisión de maduración pulmonar, tromboprofilaxis y conducta (remisión vs. manejo expectante).</w:t>
            </w:r>
          </w:p>
        </w:tc>
        <w:tc>
          <w:tcPr/>
          <w:p w:rsidR="00000000" w:rsidDel="00000000" w:rsidP="00000000" w:rsidRDefault="00000000" w:rsidRPr="00000000" w14:paraId="00000056">
            <w:pPr>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Profesional experto / Profesional solicitante</w:t>
            </w:r>
          </w:p>
        </w:tc>
        <w:tc>
          <w:tcPr/>
          <w:p w:rsidR="00000000" w:rsidDel="00000000" w:rsidP="00000000" w:rsidRDefault="00000000" w:rsidRPr="00000000" w14:paraId="00000057">
            <w:pPr>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Historia clínica Hosvital. El remisor ejecuta tácticamente las indicaciones; el referente asume la responsabilidad del juicio clínico y de las recomendaciones formuladas.</w:t>
            </w:r>
          </w:p>
        </w:tc>
      </w:tr>
      <w:tr>
        <w:trPr>
          <w:cantSplit w:val="0"/>
          <w:tblHeader w:val="0"/>
        </w:trPr>
        <w:tc>
          <w:tcPr/>
          <w:p w:rsidR="00000000" w:rsidDel="00000000" w:rsidP="00000000" w:rsidRDefault="00000000" w:rsidRPr="00000000" w14:paraId="00000058">
            <w:pPr>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6. Envío de ordenamiento y cierre</w:t>
            </w:r>
          </w:p>
        </w:tc>
        <w:tc>
          <w:tcPr/>
          <w:p w:rsidR="00000000" w:rsidDel="00000000" w:rsidP="00000000" w:rsidRDefault="00000000" w:rsidRPr="00000000" w14:paraId="00000059">
            <w:pPr>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Consolidar por escrito el concepto clínico y la conducta final (remisión vía CRUE o manejo expectante). Si procede, coordinar traslado medicalizado con metas de control tensional (TA &lt; 150/100 mmHg) y primera dosis de maduración pulmonar administrada antes del transporte.</w:t>
            </w:r>
          </w:p>
        </w:tc>
        <w:tc>
          <w:tcPr/>
          <w:p w:rsidR="00000000" w:rsidDel="00000000" w:rsidP="00000000" w:rsidRDefault="00000000" w:rsidRPr="00000000" w14:paraId="0000005A">
            <w:pPr>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Profesional experto y Centro Remisor</w:t>
            </w:r>
          </w:p>
        </w:tc>
        <w:tc>
          <w:tcPr/>
          <w:p w:rsidR="00000000" w:rsidDel="00000000" w:rsidP="00000000" w:rsidRDefault="00000000" w:rsidRPr="00000000" w14:paraId="0000005B">
            <w:pPr>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A través de correo corporativo e historia clínica (Hosvital y sistema local). Registro obligatorio con trazabilidad legal en ambos sistemas. La sesión no se cierra hasta confirmar destino o estabilidad de la paciente.</w:t>
            </w:r>
          </w:p>
        </w:tc>
      </w:tr>
    </w:tbl>
    <w:p w:rsidR="00000000" w:rsidDel="00000000" w:rsidP="00000000" w:rsidRDefault="00000000" w:rsidRPr="00000000" w14:paraId="0000005C">
      <w:pPr>
        <w:pStyle w:val="Heading1"/>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5D">
      <w:pPr>
        <w:pStyle w:val="Heading1"/>
        <w:rPr>
          <w:rFonts w:ascii="Arial" w:cs="Arial" w:eastAsia="Arial" w:hAnsi="Arial"/>
          <w:b w:val="1"/>
          <w:bCs w:val="1"/>
          <w:color w:val="000000"/>
          <w:sz w:val="24"/>
          <w:szCs w:val="24"/>
        </w:rPr>
      </w:pPr>
      <w:r w:rsidDel="00000000" w:rsidR="00000000" w:rsidRPr="00000000">
        <w:rPr>
          <w:rFonts w:ascii="Arial" w:cs="Arial" w:eastAsia="Arial" w:hAnsi="Arial"/>
          <w:b w:val="1"/>
          <w:bCs w:val="1"/>
          <w:color w:val="000000"/>
          <w:sz w:val="24"/>
          <w:szCs w:val="24"/>
          <w:rtl w:val="0"/>
        </w:rPr>
        <w:t xml:space="preserve">8. Criterios de Inclusión / Exclusión en Telesalud</w:t>
      </w:r>
    </w:p>
    <w:p w:rsidR="00000000" w:rsidDel="00000000" w:rsidP="00000000" w:rsidRDefault="00000000" w:rsidRPr="00000000" w14:paraId="0000005E">
      <w:pPr>
        <w:pStyle w:val="Heading3"/>
        <w:rPr>
          <w:rFonts w:ascii="Arial" w:cs="Arial" w:eastAsia="Arial" w:hAnsi="Arial"/>
          <w:color w:val="000000"/>
        </w:rPr>
      </w:pPr>
      <w:r w:rsidDel="00000000" w:rsidR="00000000" w:rsidRPr="00000000">
        <w:rPr>
          <w:rFonts w:ascii="Arial" w:cs="Arial" w:eastAsia="Arial" w:hAnsi="Arial"/>
          <w:color w:val="000000"/>
          <w:rtl w:val="0"/>
        </w:rPr>
        <w:t xml:space="preserve">Criterios de Inclusión</w:t>
      </w:r>
    </w:p>
    <w:p w:rsidR="00000000" w:rsidDel="00000000" w:rsidP="00000000" w:rsidRDefault="00000000" w:rsidRPr="00000000" w14:paraId="0000005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sdt>
        <w:sdtPr>
          <w:id w:val="-262136429"/>
          <w:tag w:val="goog_rdk_6"/>
        </w:sdtPr>
        <w:sdtContent>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Gestante con edad gestacional mayor a 20 semanas o puérpera (hasta 42 días posparto) con cifras de presión arterial ≥ 140/90 mmHg en dos tomas.</w:t>
          </w:r>
        </w:sdtContent>
      </w:sdt>
    </w:p>
    <w:p w:rsidR="00000000" w:rsidDel="00000000" w:rsidP="00000000" w:rsidRDefault="00000000" w:rsidRPr="00000000" w14:paraId="0000006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Pacientes con diagnóstico o sospecha clínica firme de: hipertensión gestacional, preeclampsia (con o sin severidad), eclampsia, síndrome HELLP o hipertensión crónica con preeclampsia sobre agregada.</w:t>
      </w:r>
    </w:p>
    <w:p w:rsidR="00000000" w:rsidDel="00000000" w:rsidP="00000000" w:rsidRDefault="00000000" w:rsidRPr="00000000" w14:paraId="0000006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36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Pacientes con sintomatología de vasoespasmo inespecífico (cefalea intensa, fosfenos, acúfenos, epigastralgia o dolor en hipocondrio derecho) aun con cifras tensionales dentro de rangos normales.</w:t>
      </w:r>
    </w:p>
    <w:p w:rsidR="00000000" w:rsidDel="00000000" w:rsidP="00000000" w:rsidRDefault="00000000" w:rsidRPr="00000000" w14:paraId="00000062">
      <w:pPr>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Criterios de Exclusión (Bypass Directo a Remisión Emergente)</w:t>
      </w:r>
    </w:p>
    <w:p w:rsidR="00000000" w:rsidDel="00000000" w:rsidP="00000000" w:rsidRDefault="00000000" w:rsidRPr="00000000" w14:paraId="00000063">
      <w:pPr>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La teleexperticia sincrónica es una herramienta de soporte que no debe retrasar bajo ninguna circunstancia el traslado físico en emergencias extremas que superen la capacidad de contención del nivel primario:</w:t>
      </w:r>
    </w:p>
    <w:p w:rsidR="00000000" w:rsidDel="00000000" w:rsidP="00000000" w:rsidRDefault="00000000" w:rsidRPr="00000000" w14:paraId="0000006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Eclampsia activa refractaria a la primera línea de manejo farmacológico.</w:t>
      </w:r>
    </w:p>
    <w:p w:rsidR="00000000" w:rsidDel="00000000" w:rsidP="00000000" w:rsidRDefault="00000000" w:rsidRPr="00000000" w14:paraId="0000006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Sospecha de desprendimiento prematuro de placenta (DPPNI) con inestabilidad hemodinámica o hemorragia masiva.</w:t>
      </w:r>
    </w:p>
    <w:p w:rsidR="00000000" w:rsidDel="00000000" w:rsidP="00000000" w:rsidRDefault="00000000" w:rsidRPr="00000000" w14:paraId="0000006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Accidente cerebrovascular (ACV) agudo o estado de coma.</w:t>
      </w:r>
    </w:p>
    <w:p w:rsidR="00000000" w:rsidDel="00000000" w:rsidP="00000000" w:rsidRDefault="00000000" w:rsidRPr="00000000" w14:paraId="0000006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36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Paro cardiorrespiratorio materno o sospecha clínica de ruptura uterina.</w:t>
      </w:r>
    </w:p>
    <w:p w:rsidR="00000000" w:rsidDel="00000000" w:rsidP="00000000" w:rsidRDefault="00000000" w:rsidRPr="00000000" w14:paraId="00000068">
      <w:pPr>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Acción requerida ante criterios de bypass: activar de inmediato la remisión física de urgencia vital. El teleapoyo podrá solicitarse de forma secundaria durante el tiempo de espera de la ambulancia, sin supeditar el traslado al concepto escrito del especialista.</w:t>
      </w:r>
    </w:p>
    <w:p w:rsidR="00000000" w:rsidDel="00000000" w:rsidP="00000000" w:rsidRDefault="00000000" w:rsidRPr="00000000" w14:paraId="00000069">
      <w:pPr>
        <w:pStyle w:val="Heading1"/>
        <w:rPr>
          <w:rFonts w:ascii="Arial" w:cs="Arial" w:eastAsia="Arial" w:hAnsi="Arial"/>
          <w:b w:val="1"/>
          <w:bCs w:val="1"/>
          <w:color w:val="000000"/>
          <w:sz w:val="24"/>
          <w:szCs w:val="24"/>
        </w:rPr>
      </w:pPr>
      <w:r w:rsidDel="00000000" w:rsidR="00000000" w:rsidRPr="00000000">
        <w:rPr>
          <w:rFonts w:ascii="Arial" w:cs="Arial" w:eastAsia="Arial" w:hAnsi="Arial"/>
          <w:b w:val="1"/>
          <w:bCs w:val="1"/>
          <w:color w:val="000000"/>
          <w:sz w:val="24"/>
          <w:szCs w:val="24"/>
          <w:rtl w:val="0"/>
        </w:rPr>
        <w:t xml:space="preserve">9. Roles y Responsabilidades en Telesalud</w:t>
      </w:r>
    </w:p>
    <w:p w:rsidR="00000000" w:rsidDel="00000000" w:rsidP="00000000" w:rsidRDefault="00000000" w:rsidRPr="00000000" w14:paraId="0000006A">
      <w:pPr>
        <w:rPr>
          <w:rFonts w:ascii="Arial" w:cs="Arial" w:eastAsia="Arial" w:hAnsi="Arial"/>
          <w:color w:val="000000"/>
        </w:rPr>
      </w:pPr>
      <w:r w:rsidDel="00000000" w:rsidR="00000000" w:rsidRPr="00000000">
        <w:rPr>
          <w:rtl w:val="0"/>
        </w:rPr>
      </w:r>
    </w:p>
    <w:p w:rsidR="00000000" w:rsidDel="00000000" w:rsidP="00000000" w:rsidRDefault="00000000" w:rsidRPr="00000000" w14:paraId="0000006B">
      <w:pPr>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Profesional solicitante / Líder de la escena (Centro Remisor): médico o enfermera profesional in situ. Responsable de generar la solicitud formal de teleexperticia, garantizar información clínica clara y completa bajo el modelo SBAR, obtener el consentimiento informado de la paciente, asegurar la estabilidad de la vía aérea, ejecutar los esquemas farmacológicos validados por el referente y realizar el registro obligatorio en la historia clínica local con trazabilidad legal.</w:t>
      </w:r>
    </w:p>
    <w:p w:rsidR="00000000" w:rsidDel="00000000" w:rsidP="00000000" w:rsidRDefault="00000000" w:rsidRPr="00000000" w14:paraId="0000006C">
      <w:pPr>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Profesional experto / Consultor experto (Centro Referente): médico especialista en Ginecología y Obstetricia o Medicina Materno-Fetal, actuando de forma remota. Responsable de analizar la información recibida, realizar la dirección estratégica del caso, validar el diagnóstico, optimizar la farmacoterapia en tiempo real, emitir el concepto técnico-clínico basado en la evidencia, determinar la conducta de interrupción del embarazo o traslado seguro y registrar la opinión médica en Hosvital dentro de los tiempos de respuesta institucionales.</w:t>
      </w:r>
    </w:p>
    <w:p w:rsidR="00000000" w:rsidDel="00000000" w:rsidP="00000000" w:rsidRDefault="00000000" w:rsidRPr="00000000" w14:paraId="0000006D">
      <w:pPr>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Equipo de enfermería y apoyo (Centro Remisor): auxiliares de enfermería y personal de laboratorio. Responsables de la canalización de accesos venosos, colocación de sonda vesical, procesamiento de paraclínicos tipificados como urgencia vital y monitoreo continuo de signos de toxicidad por magnesio (reflejos osteotendinosos, frecuencia respiratoria, gasto urinario &gt; 30 mL/h). Mantener disponible el Gluconato de Calcio al 10% como antídoto.</w:t>
      </w:r>
    </w:p>
    <w:p w:rsidR="00000000" w:rsidDel="00000000" w:rsidP="00000000" w:rsidRDefault="00000000" w:rsidRPr="00000000" w14:paraId="0000006E">
      <w:pPr>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Gestor de referencia y contrarreferencia (Rol administrativo): asegurar el flujo logístico de traslado, la consecución de cama en una IPS receptora con complejidad adecuada (UCI Obstétrica/Neonatal) en articulación con el CRUE.</w:t>
      </w:r>
    </w:p>
    <w:p w:rsidR="00000000" w:rsidDel="00000000" w:rsidP="00000000" w:rsidRDefault="00000000" w:rsidRPr="00000000" w14:paraId="0000006F">
      <w:pPr>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Matriz de asignación de responsabilidades (RACI):</w:t>
      </w:r>
    </w:p>
    <w:p w:rsidR="00000000" w:rsidDel="00000000" w:rsidP="00000000" w:rsidRDefault="00000000" w:rsidRPr="00000000" w14:paraId="00000070">
      <w:pPr>
        <w:rPr>
          <w:rFonts w:ascii="Arial" w:cs="Arial" w:eastAsia="Arial" w:hAnsi="Arial"/>
          <w:color w:val="000000"/>
          <w:sz w:val="24"/>
          <w:szCs w:val="24"/>
        </w:rPr>
      </w:pPr>
      <w:r w:rsidDel="00000000" w:rsidR="00000000" w:rsidRPr="00000000">
        <w:rPr>
          <w:rtl w:val="0"/>
        </w:rPr>
      </w:r>
    </w:p>
    <w:tbl>
      <w:tblPr>
        <w:tblStyle w:val="Table2"/>
        <w:tblW w:w="882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018"/>
        <w:gridCol w:w="1727"/>
        <w:gridCol w:w="1727"/>
        <w:gridCol w:w="1643"/>
        <w:gridCol w:w="1713"/>
        <w:tblGridChange w:id="0">
          <w:tblGrid>
            <w:gridCol w:w="2018"/>
            <w:gridCol w:w="1727"/>
            <w:gridCol w:w="1727"/>
            <w:gridCol w:w="1643"/>
            <w:gridCol w:w="1713"/>
          </w:tblGrid>
        </w:tblGridChange>
      </w:tblGrid>
      <w:tr>
        <w:trPr>
          <w:cantSplit w:val="0"/>
          <w:tblHeader w:val="0"/>
        </w:trPr>
        <w:tc>
          <w:tcPr/>
          <w:p w:rsidR="00000000" w:rsidDel="00000000" w:rsidP="00000000" w:rsidRDefault="00000000" w:rsidRPr="00000000" w14:paraId="00000071">
            <w:pPr>
              <w:rPr>
                <w:rFonts w:ascii="Arial" w:cs="Arial" w:eastAsia="Arial" w:hAnsi="Arial"/>
                <w:color w:val="000000"/>
                <w:sz w:val="24"/>
                <w:szCs w:val="24"/>
              </w:rPr>
            </w:pPr>
            <w:r w:rsidDel="00000000" w:rsidR="00000000" w:rsidRPr="00000000">
              <w:rPr>
                <w:rFonts w:ascii="Arial" w:cs="Arial" w:eastAsia="Arial" w:hAnsi="Arial"/>
                <w:b w:val="1"/>
                <w:bCs w:val="1"/>
                <w:color w:val="000000"/>
                <w:sz w:val="24"/>
                <w:szCs w:val="24"/>
                <w:rtl w:val="0"/>
              </w:rPr>
              <w:t xml:space="preserve">Actividad / Intervención</w:t>
            </w:r>
            <w:r w:rsidDel="00000000" w:rsidR="00000000" w:rsidRPr="00000000">
              <w:rPr>
                <w:rtl w:val="0"/>
              </w:rPr>
            </w:r>
          </w:p>
        </w:tc>
        <w:tc>
          <w:tcPr/>
          <w:p w:rsidR="00000000" w:rsidDel="00000000" w:rsidP="00000000" w:rsidRDefault="00000000" w:rsidRPr="00000000" w14:paraId="00000072">
            <w:pPr>
              <w:rPr>
                <w:rFonts w:ascii="Arial" w:cs="Arial" w:eastAsia="Arial" w:hAnsi="Arial"/>
                <w:color w:val="000000"/>
                <w:sz w:val="24"/>
                <w:szCs w:val="24"/>
              </w:rPr>
            </w:pPr>
            <w:r w:rsidDel="00000000" w:rsidR="00000000" w:rsidRPr="00000000">
              <w:rPr>
                <w:rFonts w:ascii="Arial" w:cs="Arial" w:eastAsia="Arial" w:hAnsi="Arial"/>
                <w:b w:val="1"/>
                <w:bCs w:val="1"/>
                <w:color w:val="000000"/>
                <w:sz w:val="24"/>
                <w:szCs w:val="24"/>
                <w:rtl w:val="0"/>
              </w:rPr>
              <w:t xml:space="preserve">Profesional Remisor</w:t>
            </w:r>
            <w:r w:rsidDel="00000000" w:rsidR="00000000" w:rsidRPr="00000000">
              <w:rPr>
                <w:rtl w:val="0"/>
              </w:rPr>
            </w:r>
          </w:p>
        </w:tc>
        <w:tc>
          <w:tcPr/>
          <w:p w:rsidR="00000000" w:rsidDel="00000000" w:rsidP="00000000" w:rsidRDefault="00000000" w:rsidRPr="00000000" w14:paraId="00000073">
            <w:pPr>
              <w:rPr>
                <w:rFonts w:ascii="Arial" w:cs="Arial" w:eastAsia="Arial" w:hAnsi="Arial"/>
                <w:color w:val="000000"/>
                <w:sz w:val="24"/>
                <w:szCs w:val="24"/>
              </w:rPr>
            </w:pPr>
            <w:r w:rsidDel="00000000" w:rsidR="00000000" w:rsidRPr="00000000">
              <w:rPr>
                <w:rFonts w:ascii="Arial" w:cs="Arial" w:eastAsia="Arial" w:hAnsi="Arial"/>
                <w:b w:val="1"/>
                <w:bCs w:val="1"/>
                <w:color w:val="000000"/>
                <w:sz w:val="24"/>
                <w:szCs w:val="24"/>
                <w:rtl w:val="0"/>
              </w:rPr>
              <w:t xml:space="preserve">Profesional Referente</w:t>
            </w:r>
            <w:r w:rsidDel="00000000" w:rsidR="00000000" w:rsidRPr="00000000">
              <w:rPr>
                <w:rtl w:val="0"/>
              </w:rPr>
            </w:r>
          </w:p>
        </w:tc>
        <w:tc>
          <w:tcPr/>
          <w:p w:rsidR="00000000" w:rsidDel="00000000" w:rsidP="00000000" w:rsidRDefault="00000000" w:rsidRPr="00000000" w14:paraId="00000074">
            <w:pPr>
              <w:rPr>
                <w:rFonts w:ascii="Arial" w:cs="Arial" w:eastAsia="Arial" w:hAnsi="Arial"/>
                <w:color w:val="000000"/>
                <w:sz w:val="24"/>
                <w:szCs w:val="24"/>
              </w:rPr>
            </w:pPr>
            <w:r w:rsidDel="00000000" w:rsidR="00000000" w:rsidRPr="00000000">
              <w:rPr>
                <w:rFonts w:ascii="Arial" w:cs="Arial" w:eastAsia="Arial" w:hAnsi="Arial"/>
                <w:b w:val="1"/>
                <w:bCs w:val="1"/>
                <w:color w:val="000000"/>
                <w:sz w:val="24"/>
                <w:szCs w:val="24"/>
                <w:rtl w:val="0"/>
              </w:rPr>
              <w:t xml:space="preserve">Equipo de Apoyo</w:t>
            </w:r>
            <w:r w:rsidDel="00000000" w:rsidR="00000000" w:rsidRPr="00000000">
              <w:rPr>
                <w:rtl w:val="0"/>
              </w:rPr>
            </w:r>
          </w:p>
        </w:tc>
        <w:tc>
          <w:tcPr/>
          <w:p w:rsidR="00000000" w:rsidDel="00000000" w:rsidP="00000000" w:rsidRDefault="00000000" w:rsidRPr="00000000" w14:paraId="00000075">
            <w:pPr>
              <w:rPr>
                <w:rFonts w:ascii="Arial" w:cs="Arial" w:eastAsia="Arial" w:hAnsi="Arial"/>
                <w:color w:val="000000"/>
                <w:sz w:val="24"/>
                <w:szCs w:val="24"/>
              </w:rPr>
            </w:pPr>
            <w:r w:rsidDel="00000000" w:rsidR="00000000" w:rsidRPr="00000000">
              <w:rPr>
                <w:rFonts w:ascii="Arial" w:cs="Arial" w:eastAsia="Arial" w:hAnsi="Arial"/>
                <w:b w:val="1"/>
                <w:bCs w:val="1"/>
                <w:color w:val="000000"/>
                <w:sz w:val="24"/>
                <w:szCs w:val="24"/>
                <w:rtl w:val="0"/>
              </w:rPr>
              <w:t xml:space="preserve">Gestor de Referencia</w:t>
            </w:r>
            <w:r w:rsidDel="00000000" w:rsidR="00000000" w:rsidRPr="00000000">
              <w:rPr>
                <w:rtl w:val="0"/>
              </w:rPr>
            </w:r>
          </w:p>
        </w:tc>
      </w:tr>
      <w:tr>
        <w:trPr>
          <w:cantSplit w:val="0"/>
          <w:tblHeader w:val="0"/>
        </w:trPr>
        <w:tc>
          <w:tcPr/>
          <w:p w:rsidR="00000000" w:rsidDel="00000000" w:rsidP="00000000" w:rsidRDefault="00000000" w:rsidRPr="00000000" w14:paraId="00000076">
            <w:pPr>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Detección de signos de alarma y cifras tensionales</w:t>
            </w:r>
          </w:p>
        </w:tc>
        <w:tc>
          <w:tcPr/>
          <w:p w:rsidR="00000000" w:rsidDel="00000000" w:rsidP="00000000" w:rsidRDefault="00000000" w:rsidRPr="00000000" w14:paraId="00000077">
            <w:pPr>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R / A</w:t>
            </w:r>
          </w:p>
        </w:tc>
        <w:tc>
          <w:tcPr/>
          <w:p w:rsidR="00000000" w:rsidDel="00000000" w:rsidP="00000000" w:rsidRDefault="00000000" w:rsidRPr="00000000" w14:paraId="00000078">
            <w:pPr>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I</w:t>
            </w:r>
          </w:p>
        </w:tc>
        <w:tc>
          <w:tcPr/>
          <w:p w:rsidR="00000000" w:rsidDel="00000000" w:rsidP="00000000" w:rsidRDefault="00000000" w:rsidRPr="00000000" w14:paraId="00000079">
            <w:pPr>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R</w:t>
            </w:r>
          </w:p>
        </w:tc>
        <w:tc>
          <w:tcPr/>
          <w:p w:rsidR="00000000" w:rsidDel="00000000" w:rsidP="00000000" w:rsidRDefault="00000000" w:rsidRPr="00000000" w14:paraId="0000007A">
            <w:pPr>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I</w:t>
            </w:r>
          </w:p>
        </w:tc>
      </w:tr>
      <w:tr>
        <w:trPr>
          <w:cantSplit w:val="0"/>
          <w:tblHeader w:val="0"/>
        </w:trPr>
        <w:tc>
          <w:tcPr/>
          <w:p w:rsidR="00000000" w:rsidDel="00000000" w:rsidP="00000000" w:rsidRDefault="00000000" w:rsidRPr="00000000" w14:paraId="0000007B">
            <w:pPr>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Activación del protocolo de teleexperticia</w:t>
            </w:r>
          </w:p>
        </w:tc>
        <w:tc>
          <w:tcPr/>
          <w:p w:rsidR="00000000" w:rsidDel="00000000" w:rsidP="00000000" w:rsidRDefault="00000000" w:rsidRPr="00000000" w14:paraId="0000007C">
            <w:pPr>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R / A</w:t>
            </w:r>
          </w:p>
        </w:tc>
        <w:tc>
          <w:tcPr/>
          <w:p w:rsidR="00000000" w:rsidDel="00000000" w:rsidP="00000000" w:rsidRDefault="00000000" w:rsidRPr="00000000" w14:paraId="0000007D">
            <w:pPr>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C</w:t>
            </w:r>
          </w:p>
        </w:tc>
        <w:tc>
          <w:tcPr/>
          <w:p w:rsidR="00000000" w:rsidDel="00000000" w:rsidP="00000000" w:rsidRDefault="00000000" w:rsidRPr="00000000" w14:paraId="0000007E">
            <w:pPr>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I</w:t>
            </w:r>
          </w:p>
        </w:tc>
        <w:tc>
          <w:tcPr/>
          <w:p w:rsidR="00000000" w:rsidDel="00000000" w:rsidP="00000000" w:rsidRDefault="00000000" w:rsidRPr="00000000" w14:paraId="0000007F">
            <w:pPr>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I</w:t>
            </w:r>
          </w:p>
        </w:tc>
      </w:tr>
      <w:tr>
        <w:trPr>
          <w:cantSplit w:val="0"/>
          <w:tblHeader w:val="0"/>
        </w:trPr>
        <w:tc>
          <w:tcPr/>
          <w:p w:rsidR="00000000" w:rsidDel="00000000" w:rsidP="00000000" w:rsidRDefault="00000000" w:rsidRPr="00000000" w14:paraId="00000080">
            <w:pPr>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Instauración de acceso venoso y sonda vesical</w:t>
            </w:r>
          </w:p>
        </w:tc>
        <w:tc>
          <w:tcPr/>
          <w:p w:rsidR="00000000" w:rsidDel="00000000" w:rsidP="00000000" w:rsidRDefault="00000000" w:rsidRPr="00000000" w14:paraId="00000081">
            <w:pPr>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A</w:t>
            </w:r>
          </w:p>
        </w:tc>
        <w:tc>
          <w:tcPr/>
          <w:p w:rsidR="00000000" w:rsidDel="00000000" w:rsidP="00000000" w:rsidRDefault="00000000" w:rsidRPr="00000000" w14:paraId="00000082">
            <w:pPr>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C</w:t>
            </w:r>
          </w:p>
        </w:tc>
        <w:tc>
          <w:tcPr/>
          <w:p w:rsidR="00000000" w:rsidDel="00000000" w:rsidP="00000000" w:rsidRDefault="00000000" w:rsidRPr="00000000" w14:paraId="00000083">
            <w:pPr>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R</w:t>
            </w:r>
          </w:p>
        </w:tc>
        <w:tc>
          <w:tcPr/>
          <w:p w:rsidR="00000000" w:rsidDel="00000000" w:rsidP="00000000" w:rsidRDefault="00000000" w:rsidRPr="00000000" w14:paraId="00000084">
            <w:pPr>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I</w:t>
            </w:r>
          </w:p>
        </w:tc>
      </w:tr>
      <w:tr>
        <w:trPr>
          <w:cantSplit w:val="0"/>
          <w:tblHeader w:val="0"/>
        </w:trPr>
        <w:tc>
          <w:tcPr/>
          <w:p w:rsidR="00000000" w:rsidDel="00000000" w:rsidP="00000000" w:rsidRDefault="00000000" w:rsidRPr="00000000" w14:paraId="00000085">
            <w:pPr>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Prescripción de antihipertensivos y MgSO4</w:t>
            </w:r>
          </w:p>
        </w:tc>
        <w:tc>
          <w:tcPr/>
          <w:p w:rsidR="00000000" w:rsidDel="00000000" w:rsidP="00000000" w:rsidRDefault="00000000" w:rsidRPr="00000000" w14:paraId="00000086">
            <w:pPr>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R</w:t>
            </w:r>
          </w:p>
        </w:tc>
        <w:tc>
          <w:tcPr/>
          <w:p w:rsidR="00000000" w:rsidDel="00000000" w:rsidP="00000000" w:rsidRDefault="00000000" w:rsidRPr="00000000" w14:paraId="00000087">
            <w:pPr>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A / C</w:t>
            </w:r>
          </w:p>
        </w:tc>
        <w:tc>
          <w:tcPr/>
          <w:p w:rsidR="00000000" w:rsidDel="00000000" w:rsidP="00000000" w:rsidRDefault="00000000" w:rsidRPr="00000000" w14:paraId="00000088">
            <w:pPr>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I</w:t>
            </w:r>
          </w:p>
        </w:tc>
        <w:tc>
          <w:tcPr/>
          <w:p w:rsidR="00000000" w:rsidDel="00000000" w:rsidP="00000000" w:rsidRDefault="00000000" w:rsidRPr="00000000" w14:paraId="00000089">
            <w:pPr>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I</w:t>
            </w:r>
          </w:p>
        </w:tc>
      </w:tr>
      <w:tr>
        <w:trPr>
          <w:cantSplit w:val="0"/>
          <w:tblHeader w:val="0"/>
        </w:trPr>
        <w:tc>
          <w:tcPr/>
          <w:p w:rsidR="00000000" w:rsidDel="00000000" w:rsidP="00000000" w:rsidRDefault="00000000" w:rsidRPr="00000000" w14:paraId="0000008A">
            <w:pPr>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Interpretación de paraclínicos (perfil hepático/renal)</w:t>
            </w:r>
          </w:p>
        </w:tc>
        <w:tc>
          <w:tcPr/>
          <w:p w:rsidR="00000000" w:rsidDel="00000000" w:rsidP="00000000" w:rsidRDefault="00000000" w:rsidRPr="00000000" w14:paraId="0000008B">
            <w:pPr>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R</w:t>
            </w:r>
          </w:p>
        </w:tc>
        <w:tc>
          <w:tcPr/>
          <w:p w:rsidR="00000000" w:rsidDel="00000000" w:rsidP="00000000" w:rsidRDefault="00000000" w:rsidRPr="00000000" w14:paraId="0000008C">
            <w:pPr>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A</w:t>
            </w:r>
          </w:p>
        </w:tc>
        <w:tc>
          <w:tcPr/>
          <w:p w:rsidR="00000000" w:rsidDel="00000000" w:rsidP="00000000" w:rsidRDefault="00000000" w:rsidRPr="00000000" w14:paraId="0000008D">
            <w:pPr>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R</w:t>
            </w:r>
          </w:p>
        </w:tc>
        <w:tc>
          <w:tcPr/>
          <w:p w:rsidR="00000000" w:rsidDel="00000000" w:rsidP="00000000" w:rsidRDefault="00000000" w:rsidRPr="00000000" w14:paraId="0000008E">
            <w:pPr>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I</w:t>
            </w:r>
          </w:p>
        </w:tc>
      </w:tr>
      <w:tr>
        <w:trPr>
          <w:cantSplit w:val="0"/>
          <w:tblHeader w:val="0"/>
        </w:trPr>
        <w:tc>
          <w:tcPr/>
          <w:p w:rsidR="00000000" w:rsidDel="00000000" w:rsidP="00000000" w:rsidRDefault="00000000" w:rsidRPr="00000000" w14:paraId="0000008F">
            <w:pPr>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Decisión de maduración pulmonar y tromboprofilaxis</w:t>
            </w:r>
          </w:p>
        </w:tc>
        <w:tc>
          <w:tcPr/>
          <w:p w:rsidR="00000000" w:rsidDel="00000000" w:rsidP="00000000" w:rsidRDefault="00000000" w:rsidRPr="00000000" w14:paraId="00000090">
            <w:pPr>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R</w:t>
            </w:r>
          </w:p>
        </w:tc>
        <w:tc>
          <w:tcPr/>
          <w:p w:rsidR="00000000" w:rsidDel="00000000" w:rsidP="00000000" w:rsidRDefault="00000000" w:rsidRPr="00000000" w14:paraId="00000091">
            <w:pPr>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A / C</w:t>
            </w:r>
          </w:p>
        </w:tc>
        <w:tc>
          <w:tcPr/>
          <w:p w:rsidR="00000000" w:rsidDel="00000000" w:rsidP="00000000" w:rsidRDefault="00000000" w:rsidRPr="00000000" w14:paraId="00000092">
            <w:pPr>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I</w:t>
            </w:r>
          </w:p>
        </w:tc>
        <w:tc>
          <w:tcPr/>
          <w:p w:rsidR="00000000" w:rsidDel="00000000" w:rsidP="00000000" w:rsidRDefault="00000000" w:rsidRPr="00000000" w14:paraId="00000093">
            <w:pPr>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I</w:t>
            </w:r>
          </w:p>
        </w:tc>
      </w:tr>
      <w:tr>
        <w:trPr>
          <w:cantSplit w:val="0"/>
          <w:tblHeader w:val="0"/>
        </w:trPr>
        <w:tc>
          <w:tcPr/>
          <w:p w:rsidR="00000000" w:rsidDel="00000000" w:rsidP="00000000" w:rsidRDefault="00000000" w:rsidRPr="00000000" w14:paraId="00000094">
            <w:pPr>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Definición de conducta (remisión vs. expectante)</w:t>
            </w:r>
          </w:p>
        </w:tc>
        <w:tc>
          <w:tcPr/>
          <w:p w:rsidR="00000000" w:rsidDel="00000000" w:rsidP="00000000" w:rsidRDefault="00000000" w:rsidRPr="00000000" w14:paraId="00000095">
            <w:pPr>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R</w:t>
            </w:r>
          </w:p>
        </w:tc>
        <w:tc>
          <w:tcPr/>
          <w:p w:rsidR="00000000" w:rsidDel="00000000" w:rsidP="00000000" w:rsidRDefault="00000000" w:rsidRPr="00000000" w14:paraId="00000096">
            <w:pPr>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A</w:t>
            </w:r>
          </w:p>
        </w:tc>
        <w:tc>
          <w:tcPr/>
          <w:p w:rsidR="00000000" w:rsidDel="00000000" w:rsidP="00000000" w:rsidRDefault="00000000" w:rsidRPr="00000000" w14:paraId="00000097">
            <w:pPr>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I</w:t>
            </w:r>
          </w:p>
        </w:tc>
        <w:tc>
          <w:tcPr/>
          <w:p w:rsidR="00000000" w:rsidDel="00000000" w:rsidP="00000000" w:rsidRDefault="00000000" w:rsidRPr="00000000" w14:paraId="00000098">
            <w:pPr>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C</w:t>
            </w:r>
          </w:p>
        </w:tc>
      </w:tr>
      <w:tr>
        <w:trPr>
          <w:cantSplit w:val="0"/>
          <w:tblHeader w:val="0"/>
        </w:trPr>
        <w:tc>
          <w:tcPr/>
          <w:p w:rsidR="00000000" w:rsidDel="00000000" w:rsidP="00000000" w:rsidRDefault="00000000" w:rsidRPr="00000000" w14:paraId="00000099">
            <w:pPr>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Gestión de cama y transporte medicalizado</w:t>
            </w:r>
          </w:p>
        </w:tc>
        <w:tc>
          <w:tcPr/>
          <w:p w:rsidR="00000000" w:rsidDel="00000000" w:rsidP="00000000" w:rsidRDefault="00000000" w:rsidRPr="00000000" w14:paraId="0000009A">
            <w:pPr>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I</w:t>
            </w:r>
          </w:p>
        </w:tc>
        <w:tc>
          <w:tcPr/>
          <w:p w:rsidR="00000000" w:rsidDel="00000000" w:rsidP="00000000" w:rsidRDefault="00000000" w:rsidRPr="00000000" w14:paraId="0000009B">
            <w:pPr>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I</w:t>
            </w:r>
          </w:p>
        </w:tc>
        <w:tc>
          <w:tcPr/>
          <w:p w:rsidR="00000000" w:rsidDel="00000000" w:rsidP="00000000" w:rsidRDefault="00000000" w:rsidRPr="00000000" w14:paraId="0000009C">
            <w:pPr>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I</w:t>
            </w:r>
          </w:p>
        </w:tc>
        <w:tc>
          <w:tcPr/>
          <w:p w:rsidR="00000000" w:rsidDel="00000000" w:rsidP="00000000" w:rsidRDefault="00000000" w:rsidRPr="00000000" w14:paraId="0000009D">
            <w:pPr>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R / A</w:t>
            </w:r>
          </w:p>
        </w:tc>
      </w:tr>
    </w:tbl>
    <w:p w:rsidR="00000000" w:rsidDel="00000000" w:rsidP="00000000" w:rsidRDefault="00000000" w:rsidRPr="00000000" w14:paraId="0000009E">
      <w:pPr>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Leyenda: R = Responsable (ejecuta); A = Autoridad/Aprobador (asume responsabilidad clínica final); C = Consultado (aporta soporte experto); I = Informado (conoce el resultado).</w:t>
      </w:r>
    </w:p>
    <w:p w:rsidR="00000000" w:rsidDel="00000000" w:rsidP="00000000" w:rsidRDefault="00000000" w:rsidRPr="00000000" w14:paraId="0000009F">
      <w:pPr>
        <w:pStyle w:val="Heading1"/>
        <w:rPr>
          <w:rFonts w:ascii="Arial" w:cs="Arial" w:eastAsia="Arial" w:hAnsi="Arial"/>
          <w:b w:val="1"/>
          <w:bCs w:val="1"/>
          <w:color w:val="000000"/>
          <w:sz w:val="24"/>
          <w:szCs w:val="24"/>
        </w:rPr>
      </w:pPr>
      <w:r w:rsidDel="00000000" w:rsidR="00000000" w:rsidRPr="00000000">
        <w:rPr>
          <w:rFonts w:ascii="Arial" w:cs="Arial" w:eastAsia="Arial" w:hAnsi="Arial"/>
          <w:b w:val="1"/>
          <w:bCs w:val="1"/>
          <w:color w:val="000000"/>
          <w:sz w:val="24"/>
          <w:szCs w:val="24"/>
          <w:rtl w:val="0"/>
        </w:rPr>
        <w:t xml:space="preserve">10. Tiempos de Respuesta Sugeridos</w:t>
      </w:r>
    </w:p>
    <w:p w:rsidR="00000000" w:rsidDel="00000000" w:rsidP="00000000" w:rsidRDefault="00000000" w:rsidRPr="00000000" w14:paraId="000000A0">
      <w:pPr>
        <w:rPr>
          <w:rFonts w:ascii="Arial" w:cs="Arial" w:eastAsia="Arial" w:hAnsi="Arial"/>
          <w:color w:val="000000"/>
        </w:rPr>
      </w:pPr>
      <w:r w:rsidDel="00000000" w:rsidR="00000000" w:rsidRPr="00000000">
        <w:rPr>
          <w:rtl w:val="0"/>
        </w:rPr>
      </w:r>
    </w:p>
    <w:p w:rsidR="00000000" w:rsidDel="00000000" w:rsidP="00000000" w:rsidRDefault="00000000" w:rsidRPr="00000000" w14:paraId="000000A1">
      <w:pPr>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La atención se rige bajo la cronometría de la "Hora de Oro" de la emergencia obstétrica y un sistema de priorización de triage digital:</w:t>
      </w:r>
    </w:p>
    <w:p w:rsidR="00000000" w:rsidDel="00000000" w:rsidP="00000000" w:rsidRDefault="00000000" w:rsidRPr="00000000" w14:paraId="000000A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Categoría I (Emergencia): eclampsia activa, sospecha de DPPNI, inminencia de eclampsia (fotopsias + epigastralgia severa). Tiempo máximo de conexión: inmediata, menor a 5 minutos.</w:t>
      </w:r>
    </w:p>
    <w:p w:rsidR="00000000" w:rsidDel="00000000" w:rsidP="00000000" w:rsidRDefault="00000000" w:rsidRPr="00000000" w14:paraId="000000A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Categoría II (Urgencia): preeclampsia con criterios de severidad, TAS 160-179 mmHg o TAD 110-119 mmHg, síndrome HELLP. Tiempo máximo de conexión: menor a 10 minutos.</w:t>
      </w:r>
    </w:p>
    <w:p w:rsidR="00000000" w:rsidDel="00000000" w:rsidP="00000000" w:rsidRDefault="00000000" w:rsidRPr="00000000" w14:paraId="000000A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Categoría III (Prioritario): preeclampsia sin criterios de severidad para definición de conducta inicial u hospitalización. Tiempo máximo de conexión: menor a 30 minutos.</w:t>
      </w:r>
    </w:p>
    <w:p w:rsidR="00000000" w:rsidDel="00000000" w:rsidP="00000000" w:rsidRDefault="00000000" w:rsidRPr="00000000" w14:paraId="000000A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36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Categoría IV (Consulta): ajuste de medicación oral en hipertensión crónica ambulatoria o seguimiento posparto estable. Tiempo máximo de conexión: programada, mismo día.</w:t>
      </w:r>
    </w:p>
    <w:p w:rsidR="00000000" w:rsidDel="00000000" w:rsidP="00000000" w:rsidRDefault="00000000" w:rsidRPr="00000000" w14:paraId="000000A6">
      <w:pPr>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Cronometría de la "Hora de Oro" (pasos clínicos):</w:t>
      </w:r>
    </w:p>
    <w:p w:rsidR="00000000" w:rsidDel="00000000" w:rsidP="00000000" w:rsidRDefault="00000000" w:rsidRPr="00000000" w14:paraId="000000A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T0 (Minuto 0) — Identificación: toma técnica de la presión arterial y detección de síntomas de vasoespasmo.</w:t>
      </w:r>
    </w:p>
    <w:p w:rsidR="00000000" w:rsidDel="00000000" w:rsidP="00000000" w:rsidRDefault="00000000" w:rsidRPr="00000000" w14:paraId="000000A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T1 (Minutos 0 a 10) — Activación: disparo de alerta de emergencia obstétrica local, inicio de contacto de teleexperticia y canalización de accesos venosos periféricos de gran calibre.</w:t>
      </w:r>
    </w:p>
    <w:p w:rsidR="00000000" w:rsidDel="00000000" w:rsidP="00000000" w:rsidRDefault="00000000" w:rsidRPr="00000000" w14:paraId="000000A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T2 (Minutos 10 a 20) — Intervención y medicación: conexión efectiva con el ginecobstetra referente. Administración guiada del antihipertensivo de crisis e inicio simultáneo del bolo de impregnación de MgSO4 (4 a 6 g IV).</w:t>
      </w:r>
    </w:p>
    <w:p w:rsidR="00000000" w:rsidDel="00000000" w:rsidP="00000000" w:rsidRDefault="00000000" w:rsidRPr="00000000" w14:paraId="000000A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T3 (Minutos 20 a 45) — Estabilización y paraclínicos: toma y procesamiento del perfil toxémico rápido. El especialista evalúa y valida el estado de bienestar fetal por los medios disponibles.</w:t>
      </w:r>
    </w:p>
    <w:p w:rsidR="00000000" w:rsidDel="00000000" w:rsidP="00000000" w:rsidRDefault="00000000" w:rsidRPr="00000000" w14:paraId="000000A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36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T4 (Minutos 45 a 60) — Disposición final: logística de remisión prioritaria con metas de control tensional seguro (140/90 a 150/100 mmHg). Suministro de la primera dosis de maduración pulmonar y definición de tromboprofilaxis si procede.</w:t>
      </w:r>
    </w:p>
    <w:p w:rsidR="00000000" w:rsidDel="00000000" w:rsidP="00000000" w:rsidRDefault="00000000" w:rsidRPr="00000000" w14:paraId="000000AC">
      <w:pPr>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Gestión de contingencias y continuidad operativa:</w:t>
      </w:r>
    </w:p>
    <w:p w:rsidR="00000000" w:rsidDel="00000000" w:rsidP="00000000" w:rsidRDefault="00000000" w:rsidRPr="00000000" w14:paraId="000000A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Fallo de conectividad: ante fallos en la videoconferencia, transitar de inmediato a comunicación por voz (telefonía móvil o fija). Si la comunicación es nula por más de 5 minutos en un caso Categoría I, el profesional remisor debe aplicar de forma autónoma el Kit de Emergencia Obstétrica - THAE (Resolución 3280): impregnación con MgSO4, antihipertensivos de crisis y coordinación de remisión inmediata.</w:t>
      </w:r>
    </w:p>
    <w:p w:rsidR="00000000" w:rsidDel="00000000" w:rsidP="00000000" w:rsidRDefault="00000000" w:rsidRPr="00000000" w14:paraId="000000A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Indisponibilidad del referente: activar la línea de respaldo o segundo centro de referencia. El remisor mantendrá monitoreo estricto de seguridad: reflejos patelares, frecuencia respiratoria y gasto urinario &gt; 30 mL/h.</w:t>
      </w:r>
    </w:p>
    <w:p w:rsidR="00000000" w:rsidDel="00000000" w:rsidP="00000000" w:rsidRDefault="00000000" w:rsidRPr="00000000" w14:paraId="000000A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Falla logística de transporte o cama: la sesión de teleexperticia no se cierra. El especialista realizará Rondas virtuales de seguimiento cada 30 a 60 minutos para ajustar la infusión de mantenimiento.</w:t>
      </w:r>
    </w:p>
    <w:p w:rsidR="00000000" w:rsidDel="00000000" w:rsidP="00000000" w:rsidRDefault="00000000" w:rsidRPr="00000000" w14:paraId="000000B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36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Fallo de registro digital: el remisor redactará una nota manual detallada consignando hora, nombre Del especialista y resumen de las instrucciones verbales recibidas.</w:t>
      </w:r>
    </w:p>
    <w:p w:rsidR="00000000" w:rsidDel="00000000" w:rsidP="00000000" w:rsidRDefault="00000000" w:rsidRPr="00000000" w14:paraId="000000B1">
      <w:pPr>
        <w:pStyle w:val="Heading1"/>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11. Estrategias de Humanización Digital y Diálogo Intercultural</w:t>
      </w:r>
    </w:p>
    <w:p w:rsidR="00000000" w:rsidDel="00000000" w:rsidP="00000000" w:rsidRDefault="00000000" w:rsidRPr="00000000" w14:paraId="000000B2">
      <w:pPr>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Presencia en la distancia: el médico o enfermera remisor debe explicar de forma clara a la paciente y sus acompañantes que un especialista en ginecología y obstetricia codirige de manera remota y en tiempo real su atención desde el HUN. Esta comunicación disminuye la incertidumbre y el estrés emocional, especialmente en entornos rurales dispersos.</w:t>
      </w:r>
    </w:p>
    <w:p w:rsidR="00000000" w:rsidDel="00000000" w:rsidP="00000000" w:rsidRDefault="00000000" w:rsidRPr="00000000" w14:paraId="000000B3">
      <w:pPr>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Explicación del efecto terapéutico: se debe traducir las intervenciones críticas a lenguaje laico y compasivo. Es obligatorio advertir a la gestante que la administración del sulfato de magnesio provocará una oleada de calor interna intensa pero transitoria; esto previene crisis de pánico, agitación motora o rechazo inadvertido al fármaco.</w:t>
      </w:r>
    </w:p>
    <w:p w:rsidR="00000000" w:rsidDel="00000000" w:rsidP="00000000" w:rsidRDefault="00000000" w:rsidRPr="00000000" w14:paraId="000000B4">
      <w:pPr>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Abordaje intercultural de la sintomatología: en la atención de gestantes pertenecientes a comunidades étnicas o con sistemas tradicionales de salud, se debe respetar la cosmogonía que asocia la cefalea, los fosfenos ("fogonazos") o los acúfenos a desequilibrios energéticos, espirituales o climáticos.</w:t>
      </w:r>
    </w:p>
    <w:p w:rsidR="00000000" w:rsidDel="00000000" w:rsidP="00000000" w:rsidRDefault="00000000" w:rsidRPr="00000000" w14:paraId="000000B5">
      <w:pPr>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Validación y consenso intercultural: el profesional clínico validará activamente la perspectiva de la paciente sin ridiculizarla, pero enfatizará con firmeza que el cerebro y los órganos vitales de ella y de su hijo se encuentran en peligro inminente y necesitan la protección física inmediata del medicamento endovenoso. Se permitirá el uso complementario de prácticas de medicina tradicional no invasiva (rezos, amuletos, armonizaciones corporales), siempre y cuando no interfieran con los accesos venosos, el monitoreo clínico ni la administración de la terapia farmacológica prescrita.</w:t>
      </w:r>
    </w:p>
    <w:p w:rsidR="00000000" w:rsidDel="00000000" w:rsidP="00000000" w:rsidRDefault="00000000" w:rsidRPr="00000000" w14:paraId="000000B6">
      <w:pPr>
        <w:pStyle w:val="Heading1"/>
        <w:rPr>
          <w:rFonts w:ascii="Arial" w:cs="Arial" w:eastAsia="Arial" w:hAnsi="Arial"/>
          <w:b w:val="1"/>
          <w:bCs w:val="1"/>
          <w:color w:val="000000"/>
          <w:sz w:val="24"/>
          <w:szCs w:val="24"/>
        </w:rPr>
      </w:pPr>
      <w:r w:rsidDel="00000000" w:rsidR="00000000" w:rsidRPr="00000000">
        <w:rPr>
          <w:rFonts w:ascii="Arial" w:cs="Arial" w:eastAsia="Arial" w:hAnsi="Arial"/>
          <w:b w:val="1"/>
          <w:bCs w:val="1"/>
          <w:color w:val="000000"/>
          <w:sz w:val="24"/>
          <w:szCs w:val="24"/>
          <w:rtl w:val="0"/>
        </w:rPr>
        <w:t xml:space="preserve">12. Indicadores de Calidad y Seguimiento</w:t>
      </w:r>
    </w:p>
    <w:p w:rsidR="00000000" w:rsidDel="00000000" w:rsidP="00000000" w:rsidRDefault="00000000" w:rsidRPr="00000000" w14:paraId="000000B7">
      <w:pPr>
        <w:rPr/>
      </w:pPr>
      <w:r w:rsidDel="00000000" w:rsidR="00000000" w:rsidRPr="00000000">
        <w:rPr>
          <w:rtl w:val="0"/>
        </w:rPr>
      </w:r>
    </w:p>
    <w:p w:rsidR="00000000" w:rsidDel="00000000" w:rsidP="00000000" w:rsidRDefault="00000000" w:rsidRPr="00000000" w14:paraId="000000B8">
      <w:pPr>
        <w:rPr/>
      </w:pPr>
      <w:r w:rsidDel="00000000" w:rsidR="00000000" w:rsidRPr="00000000">
        <w:rPr>
          <w:rtl w:val="0"/>
        </w:rPr>
      </w:r>
    </w:p>
    <w:p w:rsidR="00000000" w:rsidDel="00000000" w:rsidP="00000000" w:rsidRDefault="00000000" w:rsidRPr="00000000" w14:paraId="000000B9">
      <w:pPr>
        <w:rPr/>
      </w:pPr>
      <w:r w:rsidDel="00000000" w:rsidR="00000000" w:rsidRPr="00000000">
        <w:rPr>
          <w:rtl w:val="0"/>
        </w:rPr>
      </w:r>
    </w:p>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rPr>
          <w:rFonts w:ascii="Arial" w:cs="Arial" w:eastAsia="Arial" w:hAnsi="Arial"/>
          <w:color w:val="000000"/>
        </w:rPr>
      </w:pPr>
      <w:r w:rsidDel="00000000" w:rsidR="00000000" w:rsidRPr="00000000">
        <w:rPr>
          <w:rtl w:val="0"/>
        </w:rPr>
      </w:r>
    </w:p>
    <w:tbl>
      <w:tblPr>
        <w:tblStyle w:val="Table3"/>
        <w:tblW w:w="882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943"/>
        <w:gridCol w:w="2944"/>
        <w:gridCol w:w="2941"/>
        <w:tblGridChange w:id="0">
          <w:tblGrid>
            <w:gridCol w:w="2943"/>
            <w:gridCol w:w="2944"/>
            <w:gridCol w:w="2941"/>
          </w:tblGrid>
        </w:tblGridChange>
      </w:tblGrid>
      <w:tr>
        <w:trPr>
          <w:cantSplit w:val="0"/>
          <w:tblHeader w:val="0"/>
        </w:trPr>
        <w:tc>
          <w:tcPr/>
          <w:p w:rsidR="00000000" w:rsidDel="00000000" w:rsidP="00000000" w:rsidRDefault="00000000" w:rsidRPr="00000000" w14:paraId="000000BC">
            <w:pPr>
              <w:rPr>
                <w:rFonts w:ascii="Arial" w:cs="Arial" w:eastAsia="Arial" w:hAnsi="Arial"/>
                <w:color w:val="000000"/>
                <w:sz w:val="24"/>
                <w:szCs w:val="24"/>
              </w:rPr>
            </w:pPr>
            <w:r w:rsidDel="00000000" w:rsidR="00000000" w:rsidRPr="00000000">
              <w:rPr>
                <w:rFonts w:ascii="Arial" w:cs="Arial" w:eastAsia="Arial" w:hAnsi="Arial"/>
                <w:b w:val="1"/>
                <w:bCs w:val="1"/>
                <w:color w:val="000000"/>
                <w:sz w:val="24"/>
                <w:szCs w:val="24"/>
                <w:rtl w:val="0"/>
              </w:rPr>
              <w:t xml:space="preserve">Indicador</w:t>
            </w:r>
            <w:r w:rsidDel="00000000" w:rsidR="00000000" w:rsidRPr="00000000">
              <w:rPr>
                <w:rtl w:val="0"/>
              </w:rPr>
            </w:r>
          </w:p>
        </w:tc>
        <w:tc>
          <w:tcPr/>
          <w:p w:rsidR="00000000" w:rsidDel="00000000" w:rsidP="00000000" w:rsidRDefault="00000000" w:rsidRPr="00000000" w14:paraId="000000BD">
            <w:pPr>
              <w:rPr>
                <w:rFonts w:ascii="Arial" w:cs="Arial" w:eastAsia="Arial" w:hAnsi="Arial"/>
                <w:color w:val="000000"/>
                <w:sz w:val="24"/>
                <w:szCs w:val="24"/>
              </w:rPr>
            </w:pPr>
            <w:r w:rsidDel="00000000" w:rsidR="00000000" w:rsidRPr="00000000">
              <w:rPr>
                <w:rFonts w:ascii="Arial" w:cs="Arial" w:eastAsia="Arial" w:hAnsi="Arial"/>
                <w:b w:val="1"/>
                <w:bCs w:val="1"/>
                <w:color w:val="000000"/>
                <w:sz w:val="24"/>
                <w:szCs w:val="24"/>
                <w:rtl w:val="0"/>
              </w:rPr>
              <w:t xml:space="preserve">Definición</w:t>
            </w:r>
            <w:r w:rsidDel="00000000" w:rsidR="00000000" w:rsidRPr="00000000">
              <w:rPr>
                <w:rtl w:val="0"/>
              </w:rPr>
            </w:r>
          </w:p>
        </w:tc>
        <w:tc>
          <w:tcPr/>
          <w:p w:rsidR="00000000" w:rsidDel="00000000" w:rsidP="00000000" w:rsidRDefault="00000000" w:rsidRPr="00000000" w14:paraId="000000BE">
            <w:pPr>
              <w:rPr>
                <w:rFonts w:ascii="Arial" w:cs="Arial" w:eastAsia="Arial" w:hAnsi="Arial"/>
                <w:color w:val="000000"/>
                <w:sz w:val="24"/>
                <w:szCs w:val="24"/>
              </w:rPr>
            </w:pPr>
            <w:r w:rsidDel="00000000" w:rsidR="00000000" w:rsidRPr="00000000">
              <w:rPr>
                <w:rFonts w:ascii="Arial" w:cs="Arial" w:eastAsia="Arial" w:hAnsi="Arial"/>
                <w:b w:val="1"/>
                <w:bCs w:val="1"/>
                <w:color w:val="000000"/>
                <w:sz w:val="24"/>
                <w:szCs w:val="24"/>
                <w:rtl w:val="0"/>
              </w:rPr>
              <w:t xml:space="preserve">Meta Sugerida</w:t>
            </w:r>
            <w:r w:rsidDel="00000000" w:rsidR="00000000" w:rsidRPr="00000000">
              <w:rPr>
                <w:rtl w:val="0"/>
              </w:rPr>
            </w:r>
          </w:p>
        </w:tc>
      </w:tr>
      <w:tr>
        <w:trPr>
          <w:cantSplit w:val="0"/>
          <w:tblHeader w:val="0"/>
        </w:trPr>
        <w:tc>
          <w:tcPr/>
          <w:p w:rsidR="00000000" w:rsidDel="00000000" w:rsidP="00000000" w:rsidRDefault="00000000" w:rsidRPr="00000000" w14:paraId="000000BF">
            <w:pPr>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Cobertura de talento humano capacitado</w:t>
            </w:r>
          </w:p>
        </w:tc>
        <w:tc>
          <w:tcPr/>
          <w:p w:rsidR="00000000" w:rsidDel="00000000" w:rsidP="00000000" w:rsidRDefault="00000000" w:rsidRPr="00000000" w14:paraId="000000C0">
            <w:pPr>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 de profesionales de la salud capacitados y certificados en Código Azul Obstétrico y Telemedicina sobre el total del personal asistencial de la institución</w:t>
            </w:r>
          </w:p>
        </w:tc>
        <w:tc>
          <w:tcPr/>
          <w:p w:rsidR="00000000" w:rsidDel="00000000" w:rsidP="00000000" w:rsidRDefault="00000000" w:rsidRPr="00000000" w14:paraId="000000C1">
            <w:pPr>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100 %</w:t>
            </w:r>
          </w:p>
        </w:tc>
      </w:tr>
      <w:tr>
        <w:trPr>
          <w:cantSplit w:val="0"/>
          <w:tblHeader w:val="0"/>
        </w:trPr>
        <w:tc>
          <w:tcPr/>
          <w:p w:rsidR="00000000" w:rsidDel="00000000" w:rsidP="00000000" w:rsidRDefault="00000000" w:rsidRPr="00000000" w14:paraId="000000C2">
            <w:pPr>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Oportunidad en la conexión de teleexperticia</w:t>
            </w:r>
          </w:p>
        </w:tc>
        <w:tc>
          <w:tcPr/>
          <w:p w:rsidR="00000000" w:rsidDel="00000000" w:rsidP="00000000" w:rsidRDefault="00000000" w:rsidRPr="00000000" w14:paraId="000000C3">
            <w:pPr>
              <w:rPr>
                <w:rFonts w:ascii="Arial" w:cs="Arial" w:eastAsia="Arial" w:hAnsi="Arial"/>
                <w:color w:val="000000"/>
                <w:sz w:val="24"/>
                <w:szCs w:val="24"/>
              </w:rPr>
            </w:pPr>
            <w:sdt>
              <w:sdtPr>
                <w:id w:val="1288653746"/>
                <w:tag w:val="goog_rdk_7"/>
              </w:sdtPr>
              <w:sdtContent>
                <w:r w:rsidDel="00000000" w:rsidR="00000000" w:rsidRPr="00000000">
                  <w:rPr>
                    <w:rFonts w:ascii="Arial Unicode MS" w:cs="Arial Unicode MS" w:eastAsia="Arial Unicode MS" w:hAnsi="Arial Unicode MS"/>
                    <w:color w:val="000000"/>
                    <w:sz w:val="24"/>
                    <w:szCs w:val="24"/>
                    <w:rtl w:val="0"/>
                  </w:rPr>
                  <w:t xml:space="preserve">% de casos prioritarios (Categoría I y II) con tiempo de conexión efectiva con el especialista ≤ 10 minutos desde la identificación de la crisis tensional</w:t>
                </w:r>
              </w:sdtContent>
            </w:sdt>
          </w:p>
        </w:tc>
        <w:tc>
          <w:tcPr/>
          <w:p w:rsidR="00000000" w:rsidDel="00000000" w:rsidP="00000000" w:rsidRDefault="00000000" w:rsidRPr="00000000" w14:paraId="000000C4">
            <w:pPr>
              <w:rPr>
                <w:rFonts w:ascii="Arial" w:cs="Arial" w:eastAsia="Arial" w:hAnsi="Arial"/>
                <w:color w:val="000000"/>
                <w:sz w:val="24"/>
                <w:szCs w:val="24"/>
              </w:rPr>
            </w:pPr>
            <w:sdt>
              <w:sdtPr>
                <w:id w:val="-431664829"/>
                <w:tag w:val="goog_rdk_8"/>
              </w:sdtPr>
              <w:sdtContent>
                <w:r w:rsidDel="00000000" w:rsidR="00000000" w:rsidRPr="00000000">
                  <w:rPr>
                    <w:rFonts w:ascii="Arial Unicode MS" w:cs="Arial Unicode MS" w:eastAsia="Arial Unicode MS" w:hAnsi="Arial Unicode MS"/>
                    <w:color w:val="000000"/>
                    <w:sz w:val="24"/>
                    <w:szCs w:val="24"/>
                    <w:rtl w:val="0"/>
                  </w:rPr>
                  <w:t xml:space="preserve">≥ 90 %</w:t>
                </w:r>
              </w:sdtContent>
            </w:sdt>
          </w:p>
        </w:tc>
      </w:tr>
      <w:tr>
        <w:trPr>
          <w:cantSplit w:val="0"/>
          <w:tblHeader w:val="0"/>
        </w:trPr>
        <w:tc>
          <w:tcPr/>
          <w:p w:rsidR="00000000" w:rsidDel="00000000" w:rsidP="00000000" w:rsidRDefault="00000000" w:rsidRPr="00000000" w14:paraId="000000C5">
            <w:pPr>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Calidad del registro clínico</w:t>
            </w:r>
          </w:p>
        </w:tc>
        <w:tc>
          <w:tcPr/>
          <w:p w:rsidR="00000000" w:rsidDel="00000000" w:rsidP="00000000" w:rsidRDefault="00000000" w:rsidRPr="00000000" w14:paraId="000000C6">
            <w:pPr>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 de historias clínicas con registro explícito de teleexperticia (nombre del experto, hora, recomendaciones) sobre el total de pacientes atendidas bajo el protocolo de THAE</w:t>
            </w:r>
          </w:p>
        </w:tc>
        <w:tc>
          <w:tcPr/>
          <w:p w:rsidR="00000000" w:rsidDel="00000000" w:rsidP="00000000" w:rsidRDefault="00000000" w:rsidRPr="00000000" w14:paraId="000000C7">
            <w:pPr>
              <w:rPr>
                <w:rFonts w:ascii="Arial" w:cs="Arial" w:eastAsia="Arial" w:hAnsi="Arial"/>
                <w:color w:val="000000"/>
                <w:sz w:val="24"/>
                <w:szCs w:val="24"/>
              </w:rPr>
            </w:pPr>
            <w:sdt>
              <w:sdtPr>
                <w:id w:val="-1249230097"/>
                <w:tag w:val="goog_rdk_9"/>
              </w:sdtPr>
              <w:sdtContent>
                <w:r w:rsidDel="00000000" w:rsidR="00000000" w:rsidRPr="00000000">
                  <w:rPr>
                    <w:rFonts w:ascii="Arial Unicode MS" w:cs="Arial Unicode MS" w:eastAsia="Arial Unicode MS" w:hAnsi="Arial Unicode MS"/>
                    <w:color w:val="000000"/>
                    <w:sz w:val="24"/>
                    <w:szCs w:val="24"/>
                    <w:rtl w:val="0"/>
                  </w:rPr>
                  <w:t xml:space="preserve">≥ 95 %</w:t>
                </w:r>
              </w:sdtContent>
            </w:sdt>
          </w:p>
        </w:tc>
      </w:tr>
      <w:tr>
        <w:trPr>
          <w:cantSplit w:val="0"/>
          <w:tblHeader w:val="0"/>
        </w:trPr>
        <w:tc>
          <w:tcPr/>
          <w:p w:rsidR="00000000" w:rsidDel="00000000" w:rsidP="00000000" w:rsidRDefault="00000000" w:rsidRPr="00000000" w14:paraId="000000C8">
            <w:pPr>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Incidencia de eclampsia institucional</w:t>
            </w:r>
          </w:p>
        </w:tc>
        <w:tc>
          <w:tcPr/>
          <w:p w:rsidR="00000000" w:rsidDel="00000000" w:rsidP="00000000" w:rsidRDefault="00000000" w:rsidRPr="00000000" w14:paraId="000000C9">
            <w:pPr>
              <w:rPr>
                <w:rFonts w:ascii="Arial" w:cs="Arial" w:eastAsia="Arial" w:hAnsi="Arial"/>
                <w:color w:val="000000"/>
                <w:sz w:val="24"/>
                <w:szCs w:val="24"/>
              </w:rPr>
            </w:pPr>
            <w:bookmarkStart w:colFirst="0" w:colLast="0" w:name="_heading=h.3egfsrr2ko5n" w:id="0"/>
            <w:bookmarkEnd w:id="0"/>
            <w:r w:rsidDel="00000000" w:rsidR="00000000" w:rsidRPr="00000000">
              <w:rPr>
                <w:rFonts w:ascii="Arial" w:cs="Arial" w:eastAsia="Arial" w:hAnsi="Arial"/>
                <w:color w:val="000000"/>
                <w:sz w:val="24"/>
                <w:szCs w:val="24"/>
                <w:rtl w:val="0"/>
              </w:rPr>
              <w:t xml:space="preserve">% de gestantes bajo cuidado médico directo en el nivel primario que presentan episodios convulsivos tónico-clónicos estando en la institución</w:t>
            </w:r>
          </w:p>
        </w:tc>
        <w:tc>
          <w:tcPr/>
          <w:p w:rsidR="00000000" w:rsidDel="00000000" w:rsidP="00000000" w:rsidRDefault="00000000" w:rsidRPr="00000000" w14:paraId="000000CA">
            <w:pPr>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0 %</w:t>
            </w:r>
          </w:p>
        </w:tc>
      </w:tr>
      <w:tr>
        <w:trPr>
          <w:cantSplit w:val="0"/>
          <w:tblHeader w:val="0"/>
        </w:trPr>
        <w:tc>
          <w:tcPr/>
          <w:p w:rsidR="00000000" w:rsidDel="00000000" w:rsidP="00000000" w:rsidRDefault="00000000" w:rsidRPr="00000000" w14:paraId="000000CB">
            <w:pPr>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Tasa de estabilización hemodinámica pre-traslado</w:t>
            </w:r>
          </w:p>
        </w:tc>
        <w:tc>
          <w:tcPr/>
          <w:p w:rsidR="00000000" w:rsidDel="00000000" w:rsidP="00000000" w:rsidRDefault="00000000" w:rsidRPr="00000000" w14:paraId="000000CC">
            <w:pPr>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 de pacientes trasladadas con cifras tensionales controladas (TA &lt; 150/100 mmHg) sobre el total de pacientes remitidas por THAE severo</w:t>
            </w:r>
          </w:p>
        </w:tc>
        <w:tc>
          <w:tcPr/>
          <w:p w:rsidR="00000000" w:rsidDel="00000000" w:rsidP="00000000" w:rsidRDefault="00000000" w:rsidRPr="00000000" w14:paraId="000000CD">
            <w:pPr>
              <w:rPr>
                <w:rFonts w:ascii="Arial" w:cs="Arial" w:eastAsia="Arial" w:hAnsi="Arial"/>
                <w:color w:val="000000"/>
                <w:sz w:val="24"/>
                <w:szCs w:val="24"/>
              </w:rPr>
            </w:pPr>
            <w:sdt>
              <w:sdtPr>
                <w:id w:val="1867098111"/>
                <w:tag w:val="goog_rdk_10"/>
              </w:sdtPr>
              <w:sdtContent>
                <w:r w:rsidDel="00000000" w:rsidR="00000000" w:rsidRPr="00000000">
                  <w:rPr>
                    <w:rFonts w:ascii="Arial Unicode MS" w:cs="Arial Unicode MS" w:eastAsia="Arial Unicode MS" w:hAnsi="Arial Unicode MS"/>
                    <w:color w:val="000000"/>
                    <w:sz w:val="24"/>
                    <w:szCs w:val="24"/>
                    <w:rtl w:val="0"/>
                  </w:rPr>
                  <w:t xml:space="preserve">≥ 90 %</w:t>
                </w:r>
              </w:sdtContent>
            </w:sdt>
          </w:p>
        </w:tc>
      </w:tr>
      <w:tr>
        <w:trPr>
          <w:cantSplit w:val="0"/>
          <w:tblHeader w:val="0"/>
        </w:trPr>
        <w:tc>
          <w:tcPr/>
          <w:p w:rsidR="00000000" w:rsidDel="00000000" w:rsidP="00000000" w:rsidRDefault="00000000" w:rsidRPr="00000000" w14:paraId="000000CE">
            <w:pPr>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Mortalidad materna institucional directa por THAE</w:t>
            </w:r>
          </w:p>
        </w:tc>
        <w:tc>
          <w:tcPr/>
          <w:p w:rsidR="00000000" w:rsidDel="00000000" w:rsidP="00000000" w:rsidRDefault="00000000" w:rsidRPr="00000000" w14:paraId="000000CF">
            <w:pPr>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 de muertes maternas ocurridas en la institución causadas por complicaciones directas de preeclampsia, eclampsia o síndrome HELLP sobre el total de gestantes atendidas</w:t>
            </w:r>
          </w:p>
        </w:tc>
        <w:tc>
          <w:tcPr/>
          <w:p w:rsidR="00000000" w:rsidDel="00000000" w:rsidP="00000000" w:rsidRDefault="00000000" w:rsidRPr="00000000" w14:paraId="000000D0">
            <w:pPr>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0 %</w:t>
            </w:r>
          </w:p>
        </w:tc>
      </w:tr>
      <w:tr>
        <w:trPr>
          <w:cantSplit w:val="0"/>
          <w:tblHeader w:val="0"/>
        </w:trPr>
        <w:tc>
          <w:tcPr/>
          <w:p w:rsidR="00000000" w:rsidDel="00000000" w:rsidP="00000000" w:rsidRDefault="00000000" w:rsidRPr="00000000" w14:paraId="000000D1">
            <w:pPr>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Aplicación de maduración pulmonar fetal</w:t>
            </w:r>
          </w:p>
        </w:tc>
        <w:tc>
          <w:tcPr/>
          <w:p w:rsidR="00000000" w:rsidDel="00000000" w:rsidP="00000000" w:rsidRDefault="00000000" w:rsidRPr="00000000" w14:paraId="000000D2">
            <w:pPr>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 de pacientes con indicación de maduración pulmonar (semanas 24 0/7 a 34 6/7) que reciben la primera dosis antes del traslado</w:t>
            </w:r>
          </w:p>
        </w:tc>
        <w:tc>
          <w:tcPr/>
          <w:p w:rsidR="00000000" w:rsidDel="00000000" w:rsidP="00000000" w:rsidRDefault="00000000" w:rsidRPr="00000000" w14:paraId="000000D3">
            <w:pPr>
              <w:rPr>
                <w:rFonts w:ascii="Arial" w:cs="Arial" w:eastAsia="Arial" w:hAnsi="Arial"/>
                <w:color w:val="000000"/>
                <w:sz w:val="24"/>
                <w:szCs w:val="24"/>
              </w:rPr>
            </w:pPr>
            <w:sdt>
              <w:sdtPr>
                <w:id w:val="-1921003232"/>
                <w:tag w:val="goog_rdk_11"/>
              </w:sdtPr>
              <w:sdtContent>
                <w:r w:rsidDel="00000000" w:rsidR="00000000" w:rsidRPr="00000000">
                  <w:rPr>
                    <w:rFonts w:ascii="Arial Unicode MS" w:cs="Arial Unicode MS" w:eastAsia="Arial Unicode MS" w:hAnsi="Arial Unicode MS"/>
                    <w:color w:val="000000"/>
                    <w:sz w:val="24"/>
                    <w:szCs w:val="24"/>
                    <w:rtl w:val="0"/>
                  </w:rPr>
                  <w:t xml:space="preserve">≥ 95 %</w:t>
                </w:r>
              </w:sdtContent>
            </w:sdt>
          </w:p>
        </w:tc>
      </w:tr>
      <w:tr>
        <w:trPr>
          <w:cantSplit w:val="0"/>
          <w:tblHeader w:val="0"/>
        </w:trPr>
        <w:tc>
          <w:tcPr/>
          <w:p w:rsidR="00000000" w:rsidDel="00000000" w:rsidP="00000000" w:rsidRDefault="00000000" w:rsidRPr="00000000" w14:paraId="000000D4">
            <w:pPr>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Tiempo de inicio del antihipertensivo de crisis</w:t>
            </w:r>
          </w:p>
        </w:tc>
        <w:tc>
          <w:tcPr/>
          <w:p w:rsidR="00000000" w:rsidDel="00000000" w:rsidP="00000000" w:rsidRDefault="00000000" w:rsidRPr="00000000" w14:paraId="000000D5">
            <w:pPr>
              <w:rPr>
                <w:rFonts w:ascii="Arial" w:cs="Arial" w:eastAsia="Arial" w:hAnsi="Arial"/>
                <w:color w:val="000000"/>
                <w:sz w:val="24"/>
                <w:szCs w:val="24"/>
              </w:rPr>
            </w:pPr>
            <w:sdt>
              <w:sdtPr>
                <w:id w:val="-943694102"/>
                <w:tag w:val="goog_rdk_12"/>
              </w:sdtPr>
              <w:sdtContent>
                <w:r w:rsidDel="00000000" w:rsidR="00000000" w:rsidRPr="00000000">
                  <w:rPr>
                    <w:rFonts w:ascii="Arial Unicode MS" w:cs="Arial Unicode MS" w:eastAsia="Arial Unicode MS" w:hAnsi="Arial Unicode MS"/>
                    <w:color w:val="000000"/>
                    <w:sz w:val="24"/>
                    <w:szCs w:val="24"/>
                    <w:rtl w:val="0"/>
                  </w:rPr>
                  <w:t xml:space="preserve">% de pacientes con TA ≥ 160/110 mmHg que reciben el primer antihipertensivo de crisis en los primeros 30 minutos desde la detección</w:t>
                </w:r>
              </w:sdtContent>
            </w:sdt>
          </w:p>
        </w:tc>
        <w:tc>
          <w:tcPr/>
          <w:p w:rsidR="00000000" w:rsidDel="00000000" w:rsidP="00000000" w:rsidRDefault="00000000" w:rsidRPr="00000000" w14:paraId="000000D6">
            <w:pPr>
              <w:rPr>
                <w:rFonts w:ascii="Arial" w:cs="Arial" w:eastAsia="Arial" w:hAnsi="Arial"/>
                <w:color w:val="000000"/>
                <w:sz w:val="24"/>
                <w:szCs w:val="24"/>
              </w:rPr>
            </w:pPr>
            <w:sdt>
              <w:sdtPr>
                <w:id w:val="-795773674"/>
                <w:tag w:val="goog_rdk_13"/>
              </w:sdtPr>
              <w:sdtContent>
                <w:r w:rsidDel="00000000" w:rsidR="00000000" w:rsidRPr="00000000">
                  <w:rPr>
                    <w:rFonts w:ascii="Arial Unicode MS" w:cs="Arial Unicode MS" w:eastAsia="Arial Unicode MS" w:hAnsi="Arial Unicode MS"/>
                    <w:color w:val="000000"/>
                    <w:sz w:val="24"/>
                    <w:szCs w:val="24"/>
                    <w:rtl w:val="0"/>
                  </w:rPr>
                  <w:t xml:space="preserve">≥ 90 %</w:t>
                </w:r>
              </w:sdtContent>
            </w:sdt>
          </w:p>
        </w:tc>
      </w:tr>
    </w:tbl>
    <w:p w:rsidR="00000000" w:rsidDel="00000000" w:rsidP="00000000" w:rsidRDefault="00000000" w:rsidRPr="00000000" w14:paraId="000000D7">
      <w:pPr>
        <w:pStyle w:val="Heading1"/>
        <w:rPr>
          <w:rFonts w:ascii="Arial" w:cs="Arial" w:eastAsia="Arial" w:hAnsi="Arial"/>
          <w:b w:val="1"/>
          <w:bCs w:val="1"/>
          <w:color w:val="000000"/>
          <w:sz w:val="24"/>
          <w:szCs w:val="24"/>
        </w:rPr>
      </w:pPr>
      <w:r w:rsidDel="00000000" w:rsidR="00000000" w:rsidRPr="00000000">
        <w:rPr>
          <w:rFonts w:ascii="Arial" w:cs="Arial" w:eastAsia="Arial" w:hAnsi="Arial"/>
          <w:b w:val="1"/>
          <w:bCs w:val="1"/>
          <w:color w:val="000000"/>
          <w:sz w:val="24"/>
          <w:szCs w:val="24"/>
          <w:rtl w:val="0"/>
        </w:rPr>
        <w:t xml:space="preserve">13. Bibliografía</w:t>
      </w:r>
    </w:p>
    <w:p w:rsidR="00000000" w:rsidDel="00000000" w:rsidP="00000000" w:rsidRDefault="00000000" w:rsidRPr="00000000" w14:paraId="000000D8">
      <w:pPr>
        <w:pStyle w:val="Heading1"/>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1. Ministerio de Salud y Protección Social de Colombia. Resolución 3280 de 2018: lineamientos técnicos y operativos de la Ruta Integral de Atención en Salud Materno-Perinatal. Bogotá: MinSalud; 2018.</w:t>
      </w:r>
    </w:p>
    <w:p w:rsidR="00000000" w:rsidDel="00000000" w:rsidP="00000000" w:rsidRDefault="00000000" w:rsidRPr="00000000" w14:paraId="000000D9">
      <w:pPr>
        <w:pStyle w:val="Heading1"/>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2. Ministerio de Salud y Protección Social de Colombia. Resolución 2654 de 2019: disposiciones para la telesalud y parámetros para la práctica de la telemedicina en Colombia. Bogotá: MinSalud; 2019.</w:t>
      </w:r>
    </w:p>
    <w:p w:rsidR="00000000" w:rsidDel="00000000" w:rsidP="00000000" w:rsidRDefault="00000000" w:rsidRPr="00000000" w14:paraId="000000DA">
      <w:pPr>
        <w:pStyle w:val="Heading1"/>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3. Ministerio de Salud y Protección Social de Colombia. Guía de Práctica Clínica para la prevención, diagnóstico y tratamiento de los trastornos hipertensivos del embarazo. Bogotá: MinSalud-Colciencias; 2013.</w:t>
      </w:r>
    </w:p>
    <w:p w:rsidR="00000000" w:rsidDel="00000000" w:rsidP="00000000" w:rsidRDefault="00000000" w:rsidRPr="00000000" w14:paraId="000000DB">
      <w:pPr>
        <w:pStyle w:val="Heading1"/>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4. American College of Obstetricians and Gynecologists (ACOG). Gestational Hypertension and Preeclampsia: ACOG Practice Bulletin, Number 222. Obstet Gynecol. 2020;135(6):e237-e260.</w:t>
      </w:r>
    </w:p>
    <w:p w:rsidR="00000000" w:rsidDel="00000000" w:rsidP="00000000" w:rsidRDefault="00000000" w:rsidRPr="00000000" w14:paraId="000000DC">
      <w:pPr>
        <w:pStyle w:val="Heading1"/>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5. International Society for the Study of Hypertension in Pregnancy (ISSHP). The Hypertensive Disorders of Pregnancy: ISSHP Classification, Diagnosis &amp; Management Recommendations for International Practice. Hypertension. 2021;77(2):624-634.</w:t>
      </w:r>
    </w:p>
    <w:p w:rsidR="00000000" w:rsidDel="00000000" w:rsidP="00000000" w:rsidRDefault="00000000" w:rsidRPr="00000000" w14:paraId="000000DD">
      <w:pPr>
        <w:pStyle w:val="Heading1"/>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6. World Health Organization. WHO recommendations for prevention and treatment of pre-eclampsia and eclampsia. Geneva: WHO; 2018.</w:t>
      </w:r>
    </w:p>
    <w:p w:rsidR="00000000" w:rsidDel="00000000" w:rsidP="00000000" w:rsidRDefault="00000000" w:rsidRPr="00000000" w14:paraId="000000DE">
      <w:pPr>
        <w:pStyle w:val="Heading1"/>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7. Sociedad Colombiana de Obstetricia y Ginecología (ASBOG). Consenso colombiano sobre el manejo de los trastornos hipertensivos del embarazo. Rev Colomb Obstet Ginecol. 2020.</w:t>
      </w:r>
    </w:p>
    <w:p w:rsidR="00000000" w:rsidDel="00000000" w:rsidP="00000000" w:rsidRDefault="00000000" w:rsidRPr="00000000" w14:paraId="000000DF">
      <w:pPr>
        <w:pStyle w:val="Heading1"/>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8. Bernstein PS, Martin JN, Barton JR, et al. Consensus Bundle on Severe Hypertension During Pregnancy and the Postpartum Period. J Obstet Gynecol Neonatal Nurs. 2021;46(5):776-787.</w:t>
      </w:r>
    </w:p>
    <w:p w:rsidR="00000000" w:rsidDel="00000000" w:rsidP="00000000" w:rsidRDefault="00000000" w:rsidRPr="00000000" w14:paraId="000000E0">
      <w:pPr>
        <w:pStyle w:val="Heading1"/>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14. Responsables</w:t>
      </w:r>
    </w:p>
    <w:p w:rsidR="00000000" w:rsidDel="00000000" w:rsidP="00000000" w:rsidRDefault="00000000" w:rsidRPr="00000000" w14:paraId="000000E1">
      <w:pPr>
        <w:rPr>
          <w:rFonts w:ascii="Arial" w:cs="Arial" w:eastAsia="Arial" w:hAnsi="Arial"/>
          <w:color w:val="000000"/>
        </w:rPr>
      </w:pPr>
      <w:r w:rsidDel="00000000" w:rsidR="00000000" w:rsidRPr="00000000">
        <w:rPr>
          <w:rtl w:val="0"/>
        </w:rPr>
      </w:r>
    </w:p>
    <w:p w:rsidR="00000000" w:rsidDel="00000000" w:rsidP="00000000" w:rsidRDefault="00000000" w:rsidRPr="00000000" w14:paraId="000000E2">
      <w:pPr>
        <w:rPr>
          <w:rFonts w:ascii="Arial" w:cs="Arial" w:eastAsia="Arial" w:hAnsi="Arial"/>
          <w:color w:val="000000"/>
          <w:sz w:val="24"/>
          <w:szCs w:val="24"/>
        </w:rPr>
      </w:pPr>
      <w:r w:rsidDel="00000000" w:rsidR="00000000" w:rsidRPr="00000000">
        <w:rPr>
          <w:rFonts w:ascii="Arial" w:cs="Arial" w:eastAsia="Arial" w:hAnsi="Arial"/>
          <w:b w:val="1"/>
          <w:bCs w:val="1"/>
          <w:color w:val="000000"/>
          <w:sz w:val="24"/>
          <w:szCs w:val="24"/>
          <w:rtl w:val="0"/>
        </w:rPr>
        <w:t xml:space="preserve">REALIZA: </w:t>
      </w:r>
      <w:r w:rsidDel="00000000" w:rsidR="00000000" w:rsidRPr="00000000">
        <w:rPr>
          <w:rFonts w:ascii="Arial" w:cs="Arial" w:eastAsia="Arial" w:hAnsi="Arial"/>
          <w:color w:val="000000"/>
          <w:rtl w:val="0"/>
        </w:rPr>
        <w:t xml:space="preserve">Dauris Lineth Mejía Pérez.</w:t>
      </w:r>
      <w:r w:rsidDel="00000000" w:rsidR="00000000" w:rsidRPr="00000000">
        <w:rPr>
          <w:rtl w:val="0"/>
        </w:rPr>
      </w:r>
    </w:p>
    <w:p w:rsidR="00000000" w:rsidDel="00000000" w:rsidP="00000000" w:rsidRDefault="00000000" w:rsidRPr="00000000" w14:paraId="000000E3">
      <w:pPr>
        <w:rPr>
          <w:rFonts w:ascii="Arial" w:cs="Arial" w:eastAsia="Arial" w:hAnsi="Arial"/>
          <w:color w:val="000000"/>
          <w:sz w:val="24"/>
          <w:szCs w:val="24"/>
        </w:rPr>
      </w:pPr>
      <w:r w:rsidDel="00000000" w:rsidR="00000000" w:rsidRPr="00000000">
        <w:rPr>
          <w:rtl w:val="0"/>
        </w:rPr>
      </w:r>
    </w:p>
    <w:sectPr>
      <w:headerReference r:id="rId7" w:type="default"/>
      <w:footerReference r:id="rId8" w:type="default"/>
      <w:pgSz w:h="15840" w:w="12240"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Arial Unicode MS"/>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Página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de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fldChar w:fldCharType="begin"/>
      <w:instrText xml:space="preserve">NUMPAGES</w:instrText>
      <w:fldChar w:fldCharType="separate"/>
      <w:fldChar w:fldCharType="end"/>
    </w:r>
    <w:r w:rsidDel="00000000" w:rsidR="00000000" w:rsidRPr="00000000">
      <w:rPr>
        <w:rtl w:val="0"/>
      </w:rPr>
    </w:r>
  </w:p>
  <w:p w:rsidR="00000000" w:rsidDel="00000000" w:rsidP="00000000" w:rsidRDefault="00000000" w:rsidRPr="00000000" w14:paraId="000000F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color w:val="000000"/>
        <w:sz w:val="24"/>
        <w:szCs w:val="24"/>
      </w:rPr>
    </w:pPr>
    <w:r w:rsidDel="00000000" w:rsidR="00000000" w:rsidRPr="00000000">
      <w:rPr>
        <w:rtl w:val="0"/>
      </w:rPr>
    </w:r>
  </w:p>
  <w:tbl>
    <w:tblPr>
      <w:tblStyle w:val="Table4"/>
      <w:tblW w:w="10309.0" w:type="dxa"/>
      <w:jc w:val="left"/>
      <w:tblInd w:w="-73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27"/>
      <w:gridCol w:w="2349"/>
      <w:gridCol w:w="3376"/>
      <w:gridCol w:w="2057"/>
      <w:tblGridChange w:id="0">
        <w:tblGrid>
          <w:gridCol w:w="2527"/>
          <w:gridCol w:w="2349"/>
          <w:gridCol w:w="3376"/>
          <w:gridCol w:w="2057"/>
        </w:tblGrid>
      </w:tblGridChange>
    </w:tblGrid>
    <w:tr>
      <w:trPr>
        <w:cantSplit w:val="0"/>
        <w:trHeight w:val="200" w:hRule="atLeast"/>
        <w:tblHeader w:val="0"/>
      </w:trPr>
      <w:tc>
        <w:tcPr>
          <w:vMerge w:val="restart"/>
          <w:vAlign w:val="center"/>
        </w:tcPr>
        <w:p w:rsidR="00000000" w:rsidDel="00000000" w:rsidP="00000000" w:rsidRDefault="00000000" w:rsidRPr="00000000" w14:paraId="000000E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19051</wp:posOffset>
                </wp:positionH>
                <wp:positionV relativeFrom="paragraph">
                  <wp:posOffset>-12699</wp:posOffset>
                </wp:positionV>
                <wp:extent cx="1368425" cy="666750"/>
                <wp:effectExtent b="0" l="0" r="0" t="0"/>
                <wp:wrapNone/>
                <wp:docPr id="1" name="image1.png"/>
                <a:graphic>
                  <a:graphicData uri="http://schemas.openxmlformats.org/drawingml/2006/picture">
                    <pic:pic>
                      <pic:nvPicPr>
                        <pic:cNvPr id="0" name="image1.png"/>
                        <pic:cNvPicPr preferRelativeResize="0"/>
                      </pic:nvPicPr>
                      <pic:blipFill>
                        <a:blip r:embed="rId1"/>
                        <a:srcRect b="0" l="2579" r="4123" t="0"/>
                        <a:stretch>
                          <a:fillRect/>
                        </a:stretch>
                      </pic:blipFill>
                      <pic:spPr>
                        <a:xfrm>
                          <a:off x="0" y="0"/>
                          <a:ext cx="1368425" cy="666750"/>
                        </a:xfrm>
                        <a:prstGeom prst="rect"/>
                        <a:ln/>
                      </pic:spPr>
                    </pic:pic>
                  </a:graphicData>
                </a:graphic>
              </wp:anchor>
            </w:drawing>
          </w:r>
        </w:p>
      </w:tc>
      <w:tc>
        <w:tcPr>
          <w:gridSpan w:val="3"/>
          <w:vAlign w:val="center"/>
        </w:tcPr>
        <w:p w:rsidR="00000000" w:rsidDel="00000000" w:rsidP="00000000" w:rsidRDefault="00000000" w:rsidRPr="00000000" w14:paraId="000000E6">
          <w:pPr>
            <w:jc w:val="center"/>
            <w:rPr>
              <w:sz w:val="28"/>
              <w:szCs w:val="28"/>
            </w:rPr>
          </w:pPr>
          <w:r w:rsidDel="00000000" w:rsidR="00000000" w:rsidRPr="00000000">
            <w:rPr>
              <w:rFonts w:ascii="Arial" w:cs="Arial" w:eastAsia="Arial" w:hAnsi="Arial"/>
              <w:b w:val="1"/>
              <w:bCs w:val="1"/>
              <w:sz w:val="28"/>
              <w:szCs w:val="28"/>
              <w:rtl w:val="0"/>
            </w:rPr>
            <w:t xml:space="preserve">PROTOCOLO PARA LA PRESTACIÓN DE SERVICIO DE TELEEXPERTICIA PARA EL MANEJO INTEGRAL DE LOS TRASTORNOS HIPERTENSIVOS ASOCIADOS A LA GESTACIÓN (THAE)</w:t>
          </w:r>
          <w:r w:rsidDel="00000000" w:rsidR="00000000" w:rsidRPr="00000000">
            <w:rPr>
              <w:rtl w:val="0"/>
            </w:rPr>
          </w:r>
        </w:p>
      </w:tc>
    </w:tr>
    <w:tr>
      <w:trPr>
        <w:cantSplit w:val="0"/>
        <w:trHeight w:val="278" w:hRule="atLeast"/>
        <w:tblHeader w:val="0"/>
      </w:trPr>
      <w:tc>
        <w:tcPr>
          <w:vMerge w:val="continue"/>
          <w:vAlign w:val="center"/>
        </w:tcPr>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8"/>
              <w:szCs w:val="28"/>
            </w:rPr>
          </w:pPr>
          <w:r w:rsidDel="00000000" w:rsidR="00000000" w:rsidRPr="00000000">
            <w:rPr>
              <w:rtl w:val="0"/>
            </w:rPr>
          </w:r>
        </w:p>
      </w:tc>
      <w:tc>
        <w:tcPr>
          <w:gridSpan w:val="3"/>
          <w:vAlign w:val="center"/>
        </w:tcPr>
        <w:p w:rsidR="00000000" w:rsidDel="00000000" w:rsidP="00000000" w:rsidRDefault="00000000" w:rsidRPr="00000000" w14:paraId="000000E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Protocolo </w:t>
          </w:r>
        </w:p>
      </w:tc>
    </w:tr>
    <w:tr>
      <w:trPr>
        <w:cantSplit w:val="0"/>
        <w:trHeight w:val="304" w:hRule="atLeast"/>
        <w:tblHeader w:val="0"/>
      </w:trPr>
      <w:tc>
        <w:tcPr>
          <w:vMerge w:val="continue"/>
          <w:vAlign w:val="center"/>
        </w:tcPr>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E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Código: IN-FR-87</w:t>
          </w:r>
        </w:p>
      </w:tc>
      <w:tc>
        <w:tcPr>
          <w:vAlign w:val="center"/>
        </w:tcPr>
        <w:p w:rsidR="00000000" w:rsidDel="00000000" w:rsidP="00000000" w:rsidRDefault="00000000" w:rsidRPr="00000000" w14:paraId="000000E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Vigente desde: 2025-06-25</w:t>
          </w:r>
        </w:p>
      </w:tc>
      <w:tc>
        <w:tcPr>
          <w:vAlign w:val="center"/>
        </w:tcPr>
        <w:p w:rsidR="00000000" w:rsidDel="00000000" w:rsidP="00000000" w:rsidRDefault="00000000" w:rsidRPr="00000000" w14:paraId="000000F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Versión: 001</w:t>
          </w:r>
        </w:p>
      </w:tc>
    </w:tr>
  </w:tbl>
  <w:p w:rsidR="00000000" w:rsidDel="00000000" w:rsidP="00000000" w:rsidRDefault="00000000" w:rsidRPr="00000000" w14:paraId="000000F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O"/>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62626"/>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62626"/>
      <w:sz w:val="28"/>
      <w:szCs w:val="28"/>
    </w:rPr>
  </w:style>
  <w:style w:type="paragraph" w:styleId="Heading3">
    <w:name w:val="heading 3"/>
    <w:basedOn w:val="Normal"/>
    <w:next w:val="Normal"/>
    <w:pPr>
      <w:keepNext w:val="1"/>
      <w:keepLines w:val="1"/>
      <w:spacing w:after="0" w:before="40" w:lineRule="auto"/>
    </w:pPr>
    <w:rPr>
      <w:rFonts w:ascii="Calibri" w:cs="Calibri" w:eastAsia="Calibri" w:hAnsi="Calibri"/>
      <w:color w:val="0d0d0d"/>
      <w:sz w:val="24"/>
      <w:szCs w:val="24"/>
    </w:rPr>
  </w:style>
  <w:style w:type="paragraph" w:styleId="Heading4">
    <w:name w:val="heading 4"/>
    <w:basedOn w:val="Normal"/>
    <w:next w:val="Normal"/>
    <w:pPr>
      <w:keepNext w:val="1"/>
      <w:keepLines w:val="1"/>
      <w:spacing w:after="0" w:before="40" w:lineRule="auto"/>
    </w:pPr>
    <w:rPr>
      <w:i w:val="1"/>
      <w:iCs w:val="1"/>
    </w:rPr>
  </w:style>
  <w:style w:type="paragraph" w:styleId="Heading5">
    <w:name w:val="heading 5"/>
    <w:basedOn w:val="Normal"/>
    <w:next w:val="Normal"/>
    <w:pPr>
      <w:keepNext w:val="1"/>
      <w:keepLines w:val="1"/>
      <w:spacing w:after="0" w:before="40" w:lineRule="auto"/>
    </w:pPr>
    <w:rPr>
      <w:color w:val="404040"/>
    </w:rPr>
  </w:style>
  <w:style w:type="paragraph" w:styleId="Heading6">
    <w:name w:val="heading 6"/>
    <w:basedOn w:val="Normal"/>
    <w:next w:val="Normal"/>
    <w:pPr>
      <w:keepNext w:val="1"/>
      <w:keepLines w:val="1"/>
      <w:spacing w:after="0" w:before="40" w:lineRule="auto"/>
    </w:pPr>
    <w:rPr/>
  </w:style>
  <w:style w:type="paragraph" w:styleId="Title">
    <w:name w:val="Title"/>
    <w:basedOn w:val="Normal"/>
    <w:next w:val="Normal"/>
    <w:pPr>
      <w:spacing w:after="0" w:line="240" w:lineRule="auto"/>
    </w:pPr>
    <w:rPr>
      <w:rFonts w:ascii="Calibri" w:cs="Calibri" w:eastAsia="Calibri" w:hAnsi="Calibri"/>
      <w:sz w:val="56"/>
      <w:szCs w:val="56"/>
    </w:rPr>
  </w:style>
  <w:style w:type="paragraph" w:styleId="Subtitle">
    <w:name w:val="Subtitle"/>
    <w:basedOn w:val="Normal"/>
    <w:next w:val="Normal"/>
    <w:pPr/>
    <w:rPr>
      <w:color w:val="5a5a5a"/>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FzKBS+uu/7mwqIoTWPbVJGI0/Lg==">CgMxLjAaJAoBMBIfCh0IB0IZCgVBcmlhbBIQQXJpYWwgVW5pY29kZSBNUxokCgExEh8KHQgHQhkKBUFyaWFsEhBBcmlhbCBVbmljb2RlIE1TGiQKATISHwodCAdCGQoFQXJpYWwSEEFyaWFsIFVuaWNvZGUgTVMaJAoBMxIfCh0IB0IZCgVBcmlhbBIQQXJpYWwgVW5pY29kZSBNUxokCgE0Eh8KHQgHQhkKBUFyaWFsEhBBcmlhbCBVbmljb2RlIE1TGiQKATUSHwodCAdCGQoFQXJpYWwSEEFyaWFsIFVuaWNvZGUgTVMaJAoBNhIfCh0IB0IZCgVBcmlhbBIQQXJpYWwgVW5pY29kZSBNUxokCgE3Eh8KHQgHQhkKBUFyaWFsEhBBcmlhbCBVbmljb2RlIE1TGiQKATgSHwodCAdCGQoFQXJpYWwSEEFyaWFsIFVuaWNvZGUgTVMaJAoBORIfCh0IB0IZCgVBcmlhbBIQQXJpYWwgVW5pY29kZSBNUxolCgIxMBIfCh0IB0IZCgVBcmlhbBIQQXJpYWwgVW5pY29kZSBNUxolCgIxMRIfCh0IB0IZCgVBcmlhbBIQQXJpYWwgVW5pY29kZSBNUxolCgIxMhIfCh0IB0IZCgVBcmlhbBIQQXJpYWwgVW5pY29kZSBNUxolCgIxMxIfCh0IB0IZCgVBcmlhbBIQQXJpYWwgVW5pY29kZSBNUzIOaC4zZWdmc3JyMmtvNW44AHIhMXFOS3JDeFJvLU0yV2FGNXk4RG10bkhHeG9tZmpqanhx</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zotero-version="7.0.15"&gt;&lt;session id="xYArfBOb"/&gt;&lt;style id="http://www.zotero.org/styles/vancouver" locale="es-MX" hasBibliography="1" bibliographyStyleHasBeenSet="1"/&gt;&lt;prefs&gt;&lt;pref name="fieldType" value="Field"/&gt;&lt;pref name="automati</vt:lpwstr>
  </property>
  <property fmtid="{D5CDD505-2E9C-101B-9397-08002B2CF9AE}" pid="3" name="ZOTERO_PREF_2">
    <vt:lpwstr>cJournalAbbreviations" value="true"/&gt;&lt;/prefs&gt;&lt;/data&gt;</vt:lpwstr>
  </property>
  <property fmtid="{D5CDD505-2E9C-101B-9397-08002B2CF9AE}" pid="4" name="GrammarlyDocumentId">
    <vt:lpwstr>c00df39e-61df-4ebb-9111-23f482179a3c</vt:lpwstr>
  </property>
</Properties>
</file>