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Introducción</w:t>
      </w:r>
    </w:p>
    <w:p w:rsidR="00000000" w:rsidDel="00000000" w:rsidP="00000000" w:rsidRDefault="00000000" w:rsidRPr="00000000" w14:paraId="00000002">
      <w:pPr>
        <w:rPr>
          <w:rFonts w:ascii="Arial" w:cs="Arial" w:eastAsia="Arial" w:hAnsi="Arial"/>
          <w:sz w:val="24"/>
          <w:szCs w:val="24"/>
        </w:rPr>
      </w:pPr>
      <w:r w:rsidDel="00000000" w:rsidR="00000000" w:rsidRPr="00000000">
        <w:rPr>
          <w:rFonts w:ascii="Arial" w:cs="Arial" w:eastAsia="Arial" w:hAnsi="Arial"/>
          <w:sz w:val="24"/>
          <w:szCs w:val="24"/>
          <w:rtl w:val="0"/>
        </w:rPr>
        <w:t xml:space="preserve">La incorporación de las Tecnologías de la Información y la Comunicación (TIC) en el ámbito de la salud representa una estrategia fundamental para mejorar la equidad, oportunidad y calidad en la prestación de servicios. En el contexto de la atención médica en Colombia, la modalidad de Tele-experticia permite interconectar al personal asistencial de instituciones remisoras con profesionales expertos del centro referente (como el Hospital Universitario Nacional de Colombia - HUN). Este protocolo define las directrices técnico-administrativas y clínicas para estandarizar las solicitudes, análisis y respuestas de las interconsultas, asegurando la continuidad del cuidado, la seguridad del paciente y la confidencialidad de la información.</w:t>
      </w:r>
    </w:p>
    <w:p w:rsidR="00000000" w:rsidDel="00000000" w:rsidP="00000000" w:rsidRDefault="00000000" w:rsidRPr="00000000" w14:paraId="00000003">
      <w:pPr>
        <w:rPr>
          <w:rFonts w:ascii="Arial" w:cs="Arial" w:eastAsia="Arial" w:hAnsi="Arial"/>
          <w:sz w:val="24"/>
          <w:szCs w:val="24"/>
        </w:rPr>
      </w:pPr>
      <w:r w:rsidDel="00000000" w:rsidR="00000000" w:rsidRPr="00000000">
        <w:rPr>
          <w:rFonts w:ascii="Arial" w:cs="Arial" w:eastAsia="Arial" w:hAnsi="Arial"/>
          <w:sz w:val="24"/>
          <w:szCs w:val="24"/>
          <w:rtl w:val="0"/>
        </w:rPr>
        <w:t xml:space="preserve">La enfermedad tromboembólica venosa (ETV), que comprende la trombosis venosa profunda (TVP) y el tromboembolismo pulmonar (TEP), representa una de las principales causas de morbimortalidad materna prevenible en el mundo y en Colombia. El estado de gravidez genera un estado de hipercoagulabilidad fisiológica que aumenta hasta cinco veces el riesgo de ETV en comparación con las mujeres no gestantes, riesgo que se eleva aún más durante el puerperio.</w:t>
      </w:r>
    </w:p>
    <w:p w:rsidR="00000000" w:rsidDel="00000000" w:rsidP="00000000" w:rsidRDefault="00000000" w:rsidRPr="00000000" w14:paraId="0000000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General</w:t>
      </w:r>
    </w:p>
    <w:p w:rsidR="00000000" w:rsidDel="00000000" w:rsidP="00000000" w:rsidRDefault="00000000" w:rsidRPr="00000000" w14:paraId="00000006">
      <w:pPr>
        <w:rPr>
          <w:rFonts w:ascii="Arial" w:cs="Arial" w:eastAsia="Arial" w:hAnsi="Arial"/>
          <w:sz w:val="24"/>
          <w:szCs w:val="24"/>
        </w:rPr>
      </w:pPr>
      <w:r w:rsidDel="00000000" w:rsidR="00000000" w:rsidRPr="00000000">
        <w:rPr>
          <w:rFonts w:ascii="Arial" w:cs="Arial" w:eastAsia="Arial" w:hAnsi="Arial"/>
          <w:sz w:val="24"/>
          <w:szCs w:val="24"/>
          <w:rtl w:val="0"/>
        </w:rPr>
        <w:t xml:space="preserve">Optimizar la respuesta clínica y la toma de decisiones terapéuticas para la prevención de la enfermedad tromboembólica venosa durante la gestación, el parto y el puerperio mediante la modalidad de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sincrónica, garantizando una intervención basada en la mejor evidencia que reduzca la morbimortalidad materna.</w:t>
      </w:r>
    </w:p>
    <w:p w:rsidR="00000000" w:rsidDel="00000000" w:rsidP="00000000" w:rsidRDefault="00000000" w:rsidRPr="00000000" w14:paraId="0000000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Objetivos Específicos</w:t>
      </w:r>
    </w:p>
    <w:p w:rsidR="00000000" w:rsidDel="00000000" w:rsidP="00000000" w:rsidRDefault="00000000" w:rsidRPr="00000000" w14:paraId="00000009">
      <w:pPr>
        <w:numPr>
          <w:ilvl w:val="0"/>
          <w:numId w:val="10"/>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Estandarizar el Triaje y Activación:</w:t>
      </w:r>
      <w:r w:rsidDel="00000000" w:rsidR="00000000" w:rsidRPr="00000000">
        <w:rPr>
          <w:rFonts w:ascii="Arial" w:cs="Arial" w:eastAsia="Arial" w:hAnsi="Arial"/>
          <w:sz w:val="24"/>
          <w:szCs w:val="24"/>
          <w:rtl w:val="0"/>
        </w:rPr>
        <w:t xml:space="preserve"> Definir los factores de riesgo (clínicos y paraclínicos) que obligan a la activación de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ante pacientes con riesgo moderado a muy alto.</w:t>
      </w:r>
    </w:p>
    <w:p w:rsidR="00000000" w:rsidDel="00000000" w:rsidP="00000000" w:rsidRDefault="00000000" w:rsidRPr="00000000" w14:paraId="0000000A">
      <w:pPr>
        <w:numPr>
          <w:ilvl w:val="0"/>
          <w:numId w:val="10"/>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Sincronizar el Manejo Farmacológico:</w:t>
      </w:r>
      <w:r w:rsidDel="00000000" w:rsidR="00000000" w:rsidRPr="00000000">
        <w:rPr>
          <w:rFonts w:ascii="Arial" w:cs="Arial" w:eastAsia="Arial" w:hAnsi="Arial"/>
          <w:sz w:val="24"/>
          <w:szCs w:val="24"/>
          <w:rtl w:val="0"/>
        </w:rPr>
        <w:t xml:space="preserve"> Establecer un canal bidireccional para que el especialista (referente) guíe al profesional en el sitio (remisor) en la dosificación de heparinas de bajo peso molecular (HBPM).</w:t>
      </w:r>
    </w:p>
    <w:p w:rsidR="00000000" w:rsidDel="00000000" w:rsidP="00000000" w:rsidRDefault="00000000" w:rsidRPr="00000000" w14:paraId="0000000B">
      <w:pPr>
        <w:numPr>
          <w:ilvl w:val="0"/>
          <w:numId w:val="10"/>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Delimitar Responsabilidades:</w:t>
      </w:r>
      <w:r w:rsidDel="00000000" w:rsidR="00000000" w:rsidRPr="00000000">
        <w:rPr>
          <w:rFonts w:ascii="Arial" w:cs="Arial" w:eastAsia="Arial" w:hAnsi="Arial"/>
          <w:sz w:val="24"/>
          <w:szCs w:val="24"/>
          <w:rtl w:val="0"/>
        </w:rPr>
        <w:t xml:space="preserve"> Precisar en la historia clínica los roles del profesional presencial y del especialista remoto para asegurar la trazabilidad jurídica y clínica de la prevención.</w:t>
      </w:r>
    </w:p>
    <w:p w:rsidR="00000000" w:rsidDel="00000000" w:rsidP="00000000" w:rsidRDefault="00000000" w:rsidRPr="00000000" w14:paraId="0000000C">
      <w:pPr>
        <w:numPr>
          <w:ilvl w:val="0"/>
          <w:numId w:val="10"/>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Fortalecer la Capacidad Resolutiva:</w:t>
      </w:r>
      <w:r w:rsidDel="00000000" w:rsidR="00000000" w:rsidRPr="00000000">
        <w:rPr>
          <w:rFonts w:ascii="Arial" w:cs="Arial" w:eastAsia="Arial" w:hAnsi="Arial"/>
          <w:sz w:val="24"/>
          <w:szCs w:val="24"/>
          <w:rtl w:val="0"/>
        </w:rPr>
        <w:t xml:space="preserve"> Utilizar la interacción de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como un espacio de formación continua en el manejo de riesgos vasculares obstétricos.</w:t>
      </w:r>
    </w:p>
    <w:p w:rsidR="00000000" w:rsidDel="00000000" w:rsidP="00000000" w:rsidRDefault="00000000" w:rsidRPr="00000000" w14:paraId="0000000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Alcance</w:t>
      </w:r>
    </w:p>
    <w:p w:rsidR="00000000" w:rsidDel="00000000" w:rsidP="00000000" w:rsidRDefault="00000000" w:rsidRPr="00000000" w14:paraId="0000000F">
      <w:pPr>
        <w:rPr>
          <w:rFonts w:ascii="Arial" w:cs="Arial" w:eastAsia="Arial" w:hAnsi="Arial"/>
          <w:sz w:val="24"/>
          <w:szCs w:val="24"/>
        </w:rPr>
      </w:pPr>
      <w:r w:rsidDel="00000000" w:rsidR="00000000" w:rsidRPr="00000000">
        <w:rPr>
          <w:rFonts w:ascii="Arial" w:cs="Arial" w:eastAsia="Arial" w:hAnsi="Arial"/>
          <w:sz w:val="24"/>
          <w:szCs w:val="24"/>
          <w:rtl w:val="0"/>
        </w:rPr>
        <w:t xml:space="preserve">Este protocolo regula la interacción facultativa en los niveles I y II de complejidad (Centro Remisor), estableciendo un puente de experticia con centros de tercer y cuarto nivel (Centro Referente), permitiendo:</w:t>
      </w:r>
    </w:p>
    <w:p w:rsidR="00000000" w:rsidDel="00000000" w:rsidP="00000000" w:rsidRDefault="00000000" w:rsidRPr="00000000" w14:paraId="00000010">
      <w:pPr>
        <w:numPr>
          <w:ilvl w:val="0"/>
          <w:numId w:val="11"/>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Gestión del Riesgo Vascular:</w:t>
      </w:r>
      <w:r w:rsidDel="00000000" w:rsidR="00000000" w:rsidRPr="00000000">
        <w:rPr>
          <w:rFonts w:ascii="Arial" w:cs="Arial" w:eastAsia="Arial" w:hAnsi="Arial"/>
          <w:sz w:val="24"/>
          <w:szCs w:val="24"/>
          <w:rtl w:val="0"/>
        </w:rPr>
        <w:t xml:space="preserve"> Identificación proactiva de fenotipos de alto riesgo trombótico mediante la aplicación de escalas validadas por la ASBOG.</w:t>
      </w:r>
    </w:p>
    <w:p w:rsidR="00000000" w:rsidDel="00000000" w:rsidP="00000000" w:rsidRDefault="00000000" w:rsidRPr="00000000" w14:paraId="00000011">
      <w:pPr>
        <w:numPr>
          <w:ilvl w:val="0"/>
          <w:numId w:val="11"/>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Intervención Sincrónica:</w:t>
      </w:r>
      <w:r w:rsidDel="00000000" w:rsidR="00000000" w:rsidRPr="00000000">
        <w:rPr>
          <w:rFonts w:ascii="Arial" w:cs="Arial" w:eastAsia="Arial" w:hAnsi="Arial"/>
          <w:sz w:val="24"/>
          <w:szCs w:val="24"/>
          <w:rtl w:val="0"/>
        </w:rPr>
        <w:t xml:space="preserve"> La toma de decisiones sobre el inicio de Heparinas de Bajo Peso Molecular (HBPM) concebida como un proceso de co-construcción diagnóstica entre el médico remisor y el especialista referente.</w:t>
      </w:r>
    </w:p>
    <w:p w:rsidR="00000000" w:rsidDel="00000000" w:rsidP="00000000" w:rsidRDefault="00000000" w:rsidRPr="00000000" w14:paraId="00000012">
      <w:pPr>
        <w:numPr>
          <w:ilvl w:val="0"/>
          <w:numId w:val="11"/>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Optimización del Recurso:</w:t>
      </w:r>
      <w:r w:rsidDel="00000000" w:rsidR="00000000" w:rsidRPr="00000000">
        <w:rPr>
          <w:rFonts w:ascii="Arial" w:cs="Arial" w:eastAsia="Arial" w:hAnsi="Arial"/>
          <w:sz w:val="24"/>
          <w:szCs w:val="24"/>
          <w:rtl w:val="0"/>
        </w:rPr>
        <w:t xml:space="preserve"> Reducción de remisiones innecesarias mediante la instauración de tromboprofilaxis efectiva </w:t>
      </w:r>
      <w:r w:rsidDel="00000000" w:rsidR="00000000" w:rsidRPr="00000000">
        <w:rPr>
          <w:rFonts w:ascii="Arial" w:cs="Arial" w:eastAsia="Arial" w:hAnsi="Arial"/>
          <w:i w:val="1"/>
          <w:iCs w:val="1"/>
          <w:sz w:val="24"/>
          <w:szCs w:val="24"/>
          <w:rtl w:val="0"/>
        </w:rPr>
        <w:t xml:space="preserve">in situ</w:t>
      </w:r>
      <w:r w:rsidDel="00000000" w:rsidR="00000000" w:rsidRPr="00000000">
        <w:rPr>
          <w:rFonts w:ascii="Arial" w:cs="Arial" w:eastAsia="Arial" w:hAnsi="Arial"/>
          <w:sz w:val="24"/>
          <w:szCs w:val="24"/>
          <w:rtl w:val="0"/>
        </w:rPr>
        <w:t xml:space="preserve">, disminuyendo la carga sobre los centros de alta complejidad.</w:t>
      </w:r>
    </w:p>
    <w:p w:rsidR="00000000" w:rsidDel="00000000" w:rsidP="00000000" w:rsidRDefault="00000000" w:rsidRPr="00000000" w14:paraId="0000001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Marco Normativo</w:t>
      </w:r>
    </w:p>
    <w:p w:rsidR="00000000" w:rsidDel="00000000" w:rsidP="00000000" w:rsidRDefault="00000000" w:rsidRPr="00000000" w14:paraId="00000015">
      <w:pPr>
        <w:numPr>
          <w:ilvl w:val="0"/>
          <w:numId w:val="12"/>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Resolución 2654 de 2019:</w:t>
      </w:r>
      <w:r w:rsidDel="00000000" w:rsidR="00000000" w:rsidRPr="00000000">
        <w:rPr>
          <w:rFonts w:ascii="Arial" w:cs="Arial" w:eastAsia="Arial" w:hAnsi="Arial"/>
          <w:sz w:val="24"/>
          <w:szCs w:val="24"/>
          <w:rtl w:val="0"/>
        </w:rPr>
        <w:t xml:space="preserve"> Regula la telesalud y telemedicina en Colombia.</w:t>
      </w:r>
    </w:p>
    <w:p w:rsidR="00000000" w:rsidDel="00000000" w:rsidP="00000000" w:rsidRDefault="00000000" w:rsidRPr="00000000" w14:paraId="00000016">
      <w:pPr>
        <w:numPr>
          <w:ilvl w:val="0"/>
          <w:numId w:val="12"/>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Resolución 3100 de 2019:</w:t>
      </w:r>
      <w:r w:rsidDel="00000000" w:rsidR="00000000" w:rsidRPr="00000000">
        <w:rPr>
          <w:rFonts w:ascii="Arial" w:cs="Arial" w:eastAsia="Arial" w:hAnsi="Arial"/>
          <w:sz w:val="24"/>
          <w:szCs w:val="24"/>
          <w:rtl w:val="0"/>
        </w:rPr>
        <w:t xml:space="preserve"> Define los estándares de habilitación en salud.</w:t>
      </w:r>
    </w:p>
    <w:p w:rsidR="00000000" w:rsidDel="00000000" w:rsidP="00000000" w:rsidRDefault="00000000" w:rsidRPr="00000000" w14:paraId="00000017">
      <w:pPr>
        <w:numPr>
          <w:ilvl w:val="0"/>
          <w:numId w:val="12"/>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Ley 1419 de 2010:</w:t>
      </w:r>
      <w:r w:rsidDel="00000000" w:rsidR="00000000" w:rsidRPr="00000000">
        <w:rPr>
          <w:rFonts w:ascii="Arial" w:cs="Arial" w:eastAsia="Arial" w:hAnsi="Arial"/>
          <w:sz w:val="24"/>
          <w:szCs w:val="24"/>
          <w:rtl w:val="0"/>
        </w:rPr>
        <w:t xml:space="preserve"> Telemedicina en Colombia.</w:t>
      </w:r>
    </w:p>
    <w:p w:rsidR="00000000" w:rsidDel="00000000" w:rsidP="00000000" w:rsidRDefault="00000000" w:rsidRPr="00000000" w14:paraId="00000018">
      <w:pPr>
        <w:numPr>
          <w:ilvl w:val="0"/>
          <w:numId w:val="12"/>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Ley 1581 de 2012:</w:t>
      </w:r>
      <w:r w:rsidDel="00000000" w:rsidR="00000000" w:rsidRPr="00000000">
        <w:rPr>
          <w:rFonts w:ascii="Arial" w:cs="Arial" w:eastAsia="Arial" w:hAnsi="Arial"/>
          <w:sz w:val="24"/>
          <w:szCs w:val="24"/>
          <w:rtl w:val="0"/>
        </w:rPr>
        <w:t xml:space="preserve"> Protección de Datos Personales.</w:t>
      </w:r>
    </w:p>
    <w:p w:rsidR="00000000" w:rsidDel="00000000" w:rsidP="00000000" w:rsidRDefault="00000000" w:rsidRPr="00000000" w14:paraId="00000019">
      <w:pPr>
        <w:numPr>
          <w:ilvl w:val="0"/>
          <w:numId w:val="12"/>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Decreto 538 de 2020:</w:t>
      </w:r>
      <w:r w:rsidDel="00000000" w:rsidR="00000000" w:rsidRPr="00000000">
        <w:rPr>
          <w:rFonts w:ascii="Arial" w:cs="Arial" w:eastAsia="Arial" w:hAnsi="Arial"/>
          <w:sz w:val="24"/>
          <w:szCs w:val="24"/>
          <w:rtl w:val="0"/>
        </w:rPr>
        <w:t xml:space="preserve"> Medidas de Telemedicina para emergencias sanitarias.</w:t>
      </w:r>
    </w:p>
    <w:p w:rsidR="00000000" w:rsidDel="00000000" w:rsidP="00000000" w:rsidRDefault="00000000" w:rsidRPr="00000000" w14:paraId="0000001A">
      <w:pPr>
        <w:numPr>
          <w:ilvl w:val="0"/>
          <w:numId w:val="12"/>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Guías Ministerio de Salud y Protección Social en Telesalud:</w:t>
      </w:r>
      <w:r w:rsidDel="00000000" w:rsidR="00000000" w:rsidRPr="00000000">
        <w:rPr>
          <w:rFonts w:ascii="Arial" w:cs="Arial" w:eastAsia="Arial" w:hAnsi="Arial"/>
          <w:sz w:val="24"/>
          <w:szCs w:val="24"/>
          <w:rtl w:val="0"/>
        </w:rPr>
        <w:t xml:space="preserve"> Orientaciones oficiales del ente regulador nacional.</w:t>
      </w:r>
    </w:p>
    <w:p w:rsidR="00000000" w:rsidDel="00000000" w:rsidP="00000000" w:rsidRDefault="00000000" w:rsidRPr="00000000" w14:paraId="0000001B">
      <w:pPr>
        <w:numPr>
          <w:ilvl w:val="0"/>
          <w:numId w:val="12"/>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Resolución 3280 de 2018:</w:t>
      </w:r>
      <w:r w:rsidDel="00000000" w:rsidR="00000000" w:rsidRPr="00000000">
        <w:rPr>
          <w:rFonts w:ascii="Arial" w:cs="Arial" w:eastAsia="Arial" w:hAnsi="Arial"/>
          <w:sz w:val="24"/>
          <w:szCs w:val="24"/>
          <w:rtl w:val="0"/>
        </w:rPr>
        <w:t xml:space="preserve"> Lineamientos técnicos y operativos de la Ruta Integral de Atención Materno Perinatal en Colombia.</w:t>
      </w:r>
    </w:p>
    <w:p w:rsidR="00000000" w:rsidDel="00000000" w:rsidP="00000000" w:rsidRDefault="00000000" w:rsidRPr="00000000" w14:paraId="0000001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Definiciones</w:t>
      </w:r>
    </w:p>
    <w:p w:rsidR="00000000" w:rsidDel="00000000" w:rsidP="00000000" w:rsidRDefault="00000000" w:rsidRPr="00000000" w14:paraId="0000001E">
      <w:pPr>
        <w:numPr>
          <w:ilvl w:val="0"/>
          <w:numId w:val="13"/>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Telesalud:</w:t>
      </w:r>
      <w:r w:rsidDel="00000000" w:rsidR="00000000" w:rsidRPr="00000000">
        <w:rPr>
          <w:rFonts w:ascii="Arial" w:cs="Arial" w:eastAsia="Arial" w:hAnsi="Arial"/>
          <w:sz w:val="24"/>
          <w:szCs w:val="24"/>
          <w:rtl w:val="0"/>
        </w:rPr>
        <w:t xml:space="preserve"> Conjunto de actividades relacionadas con la salud, servicios y métodos, los cuales se llevan a cabo a distancia con la ayuda de las tecnologías de la información y telecomunicaciones. Incluye, entre otras, la Telemedicina y la Teleeducación en salud.</w:t>
      </w:r>
    </w:p>
    <w:p w:rsidR="00000000" w:rsidDel="00000000" w:rsidP="00000000" w:rsidRDefault="00000000" w:rsidRPr="00000000" w14:paraId="0000001F">
      <w:pPr>
        <w:numPr>
          <w:ilvl w:val="0"/>
          <w:numId w:val="13"/>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Teleapoyo:</w:t>
      </w:r>
      <w:r w:rsidDel="00000000" w:rsidR="00000000" w:rsidRPr="00000000">
        <w:rPr>
          <w:rFonts w:ascii="Arial" w:cs="Arial" w:eastAsia="Arial" w:hAnsi="Arial"/>
          <w:sz w:val="24"/>
          <w:szCs w:val="24"/>
          <w:rtl w:val="0"/>
        </w:rPr>
        <w:t xml:space="preserve"> Soporte solicitado por un profesional de la salud a otro profesional de la salud a través de tecnologías de la información y comunicaciones en el marco del relacionamiento entre prestadores.</w:t>
      </w:r>
    </w:p>
    <w:p w:rsidR="00000000" w:rsidDel="00000000" w:rsidP="00000000" w:rsidRDefault="00000000" w:rsidRPr="00000000" w14:paraId="00000020">
      <w:pPr>
        <w:numPr>
          <w:ilvl w:val="0"/>
          <w:numId w:val="13"/>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Teleexperticia:</w:t>
      </w:r>
      <w:r w:rsidDel="00000000" w:rsidR="00000000" w:rsidRPr="00000000">
        <w:rPr>
          <w:rFonts w:ascii="Arial" w:cs="Arial" w:eastAsia="Arial" w:hAnsi="Arial"/>
          <w:sz w:val="24"/>
          <w:szCs w:val="24"/>
          <w:rtl w:val="0"/>
        </w:rPr>
        <w:t xml:space="preserve"> Es la relación a distancia con método de comunicación sincrónico o asincrónico para la provisión de servicios de salud en cualquiera de sus componentes, utilizando tecnologías de información y comunicación entre:a) Dos profesionales de la salud, uno de los cuales atiende presencialmente al usuario y otro atiende a distancia. El profesional que atiende presencialmente al usuario es responsable del tratamiento y de las decisiones y recomendaciones entregadas al paciente y el que atiende a distancia actúa como apoyo o asesor; b) Profesionales de la salud que en junta médica realizan una interconsulta o una asesoría; c) Personal de salud no profesional que solicita el apoyo de un profesional de la salud para la toma de decisiones.</w:t>
      </w:r>
    </w:p>
    <w:p w:rsidR="00000000" w:rsidDel="00000000" w:rsidP="00000000" w:rsidRDefault="00000000" w:rsidRPr="00000000" w14:paraId="00000021">
      <w:pPr>
        <w:numPr>
          <w:ilvl w:val="0"/>
          <w:numId w:val="13"/>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Fenotipo de Hipercoagulabilidad Gestacional:</w:t>
      </w:r>
      <w:r w:rsidDel="00000000" w:rsidR="00000000" w:rsidRPr="00000000">
        <w:rPr>
          <w:rFonts w:ascii="Arial" w:cs="Arial" w:eastAsia="Arial" w:hAnsi="Arial"/>
          <w:sz w:val="24"/>
          <w:szCs w:val="24"/>
          <w:rtl w:val="0"/>
        </w:rPr>
        <w:t xml:space="preserve"> Estado fisiológico de adaptación pro-hemostática caracterizado por el incremento de factores procoagulantes (I, VII, VIII, IX, X), la disminución de la actividad de la Proteína S y la inhibición de la fibrinólisis por el aumento del PAI-1 y PAI-2.</w:t>
      </w:r>
    </w:p>
    <w:p w:rsidR="00000000" w:rsidDel="00000000" w:rsidP="00000000" w:rsidRDefault="00000000" w:rsidRPr="00000000" w14:paraId="00000022">
      <w:pPr>
        <w:numPr>
          <w:ilvl w:val="0"/>
          <w:numId w:val="13"/>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Enfermedad Tromboembólica Venosa (ETV) Multifactorial:</w:t>
      </w:r>
      <w:r w:rsidDel="00000000" w:rsidR="00000000" w:rsidRPr="00000000">
        <w:rPr>
          <w:rFonts w:ascii="Arial" w:cs="Arial" w:eastAsia="Arial" w:hAnsi="Arial"/>
          <w:sz w:val="24"/>
          <w:szCs w:val="24"/>
          <w:rtl w:val="0"/>
        </w:rPr>
        <w:t xml:space="preserve"> Espectro clínico que comprende la Trombosis Venosa Profunda (TVP) y el Tromboembolismo Pulmonar (TEP).</w:t>
      </w:r>
    </w:p>
    <w:p w:rsidR="00000000" w:rsidDel="00000000" w:rsidP="00000000" w:rsidRDefault="00000000" w:rsidRPr="00000000" w14:paraId="00000023">
      <w:pPr>
        <w:numPr>
          <w:ilvl w:val="0"/>
          <w:numId w:val="13"/>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Trombofilias de Muy Alto Riesgo:</w:t>
      </w:r>
      <w:r w:rsidDel="00000000" w:rsidR="00000000" w:rsidRPr="00000000">
        <w:rPr>
          <w:rFonts w:ascii="Arial" w:cs="Arial" w:eastAsia="Arial" w:hAnsi="Arial"/>
          <w:sz w:val="24"/>
          <w:szCs w:val="24"/>
          <w:rtl w:val="0"/>
        </w:rPr>
        <w:t xml:space="preserve"> Deficiencia homocigótica del Factor V de Leiden, mutación del gen de la Protrombina (G20210A) en estado homocigótico, o combinaciones heterocigóticas dobles.</w:t>
      </w:r>
    </w:p>
    <w:p w:rsidR="00000000" w:rsidDel="00000000" w:rsidP="00000000" w:rsidRDefault="00000000" w:rsidRPr="00000000" w14:paraId="00000024">
      <w:pPr>
        <w:numPr>
          <w:ilvl w:val="0"/>
          <w:numId w:val="13"/>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Trombofilias de Alto Riesgo:</w:t>
      </w:r>
      <w:r w:rsidDel="00000000" w:rsidR="00000000" w:rsidRPr="00000000">
        <w:rPr>
          <w:rFonts w:ascii="Arial" w:cs="Arial" w:eastAsia="Arial" w:hAnsi="Arial"/>
          <w:sz w:val="24"/>
          <w:szCs w:val="24"/>
          <w:rtl w:val="0"/>
        </w:rPr>
        <w:t xml:space="preserve"> Deficiencia de Antitrombina III, Proteína C o Proteína S (ajustada por los cambios fisiológicos del embarazo).</w:t>
      </w:r>
    </w:p>
    <w:p w:rsidR="00000000" w:rsidDel="00000000" w:rsidP="00000000" w:rsidRDefault="00000000" w:rsidRPr="00000000" w14:paraId="00000025">
      <w:pPr>
        <w:numPr>
          <w:ilvl w:val="0"/>
          <w:numId w:val="13"/>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Tromboprofilaxis Farmacodinámica Ajustada:</w:t>
      </w:r>
      <w:r w:rsidDel="00000000" w:rsidR="00000000" w:rsidRPr="00000000">
        <w:rPr>
          <w:rFonts w:ascii="Arial" w:cs="Arial" w:eastAsia="Arial" w:hAnsi="Arial"/>
          <w:sz w:val="24"/>
          <w:szCs w:val="24"/>
          <w:rtl w:val="0"/>
        </w:rPr>
        <w:t xml:space="preserve"> Uso de Heparinas de Bajo Peso Molecular (HBPM) como la Enoxaparina </w:t>
      </w:r>
      <w:r w:rsidDel="00000000" w:rsidR="00000000" w:rsidRPr="00000000">
        <w:rPr>
          <w:rFonts w:ascii="Arial" w:cs="Arial" w:eastAsia="Arial" w:hAnsi="Arial"/>
          <w:sz w:val="24"/>
          <w:szCs w:val="24"/>
          <w:rtl w:val="0"/>
        </w:rPr>
        <w:t xml:space="preserve">o Dalteparina</w:t>
      </w:r>
      <w:r w:rsidDel="00000000" w:rsidR="00000000" w:rsidRPr="00000000">
        <w:rPr>
          <w:rFonts w:ascii="Arial" w:cs="Arial" w:eastAsia="Arial" w:hAnsi="Arial"/>
          <w:sz w:val="24"/>
          <w:szCs w:val="24"/>
          <w:rtl w:val="0"/>
        </w:rPr>
        <w:t xml:space="preserve">, cuya acción se centra en la inhibición selectiva del Factor Xa, donde el peso real de la paciente dicta el ajuste de la dosis.</w:t>
      </w:r>
    </w:p>
    <w:p w:rsidR="00000000" w:rsidDel="00000000" w:rsidP="00000000" w:rsidRDefault="00000000" w:rsidRPr="00000000" w14:paraId="00000026">
      <w:pPr>
        <w:numPr>
          <w:ilvl w:val="0"/>
          <w:numId w:val="13"/>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Inmovilidad Proclive (Factor de Riesgo Hospitalario):</w:t>
      </w:r>
      <w:r w:rsidDel="00000000" w:rsidR="00000000" w:rsidRPr="00000000">
        <w:rPr>
          <w:rFonts w:ascii="Arial" w:cs="Arial" w:eastAsia="Arial" w:hAnsi="Arial"/>
          <w:sz w:val="24"/>
          <w:szCs w:val="24"/>
          <w:rtl w:val="0"/>
        </w:rPr>
        <w:t xml:space="preserve"> Cualquier restricción de la movilidad ambulatoria habitual por un periodo superior a 4 horas (viajes o reposo médico/hospitalización).</w:t>
      </w:r>
    </w:p>
    <w:p w:rsidR="00000000" w:rsidDel="00000000" w:rsidP="00000000" w:rsidRDefault="00000000" w:rsidRPr="00000000" w14:paraId="00000027">
      <w:pPr>
        <w:numPr>
          <w:ilvl w:val="0"/>
          <w:numId w:val="13"/>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Ventana de Seguridad Hemostática:</w:t>
      </w:r>
      <w:r w:rsidDel="00000000" w:rsidR="00000000" w:rsidRPr="00000000">
        <w:rPr>
          <w:rFonts w:ascii="Arial" w:cs="Arial" w:eastAsia="Arial" w:hAnsi="Arial"/>
          <w:sz w:val="24"/>
          <w:szCs w:val="24"/>
          <w:rtl w:val="0"/>
        </w:rPr>
        <w:t xml:space="preserve"> Intervalo de tiempo crítico entre la última dosis de HBPM y la realización de anestesia </w:t>
      </w:r>
      <w:r w:rsidDel="00000000" w:rsidR="00000000" w:rsidRPr="00000000">
        <w:rPr>
          <w:rFonts w:ascii="Arial" w:cs="Arial" w:eastAsia="Arial" w:hAnsi="Arial"/>
          <w:sz w:val="24"/>
          <w:szCs w:val="24"/>
          <w:rtl w:val="0"/>
        </w:rPr>
        <w:t xml:space="preserve">neuroaxial</w:t>
      </w:r>
      <w:r w:rsidDel="00000000" w:rsidR="00000000" w:rsidRPr="00000000">
        <w:rPr>
          <w:rFonts w:ascii="Arial" w:cs="Arial" w:eastAsia="Arial" w:hAnsi="Arial"/>
          <w:sz w:val="24"/>
          <w:szCs w:val="24"/>
          <w:rtl w:val="0"/>
        </w:rPr>
        <w:t xml:space="preserve"> o el parto (mínimo 12 horas para dosis profilácticas y 24 horas para terapéuticas).</w:t>
      </w:r>
    </w:p>
    <w:p w:rsidR="00000000" w:rsidDel="00000000" w:rsidP="00000000" w:rsidRDefault="00000000" w:rsidRPr="00000000" w14:paraId="00000028">
      <w:pPr>
        <w:numPr>
          <w:ilvl w:val="0"/>
          <w:numId w:val="13"/>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Puerperio Crítico (Fenómeno de Rebote Trombótico):</w:t>
      </w:r>
      <w:r w:rsidDel="00000000" w:rsidR="00000000" w:rsidRPr="00000000">
        <w:rPr>
          <w:rFonts w:ascii="Arial" w:cs="Arial" w:eastAsia="Arial" w:hAnsi="Arial"/>
          <w:sz w:val="24"/>
          <w:szCs w:val="24"/>
          <w:rtl w:val="0"/>
        </w:rPr>
        <w:t xml:space="preserve"> Periodo de 42 días post-parto donde el riesgo de ETV es hasta 20 veces mayor que en la mujer no gestante.</w:t>
      </w:r>
    </w:p>
    <w:p w:rsidR="00000000" w:rsidDel="00000000" w:rsidP="00000000" w:rsidRDefault="00000000" w:rsidRPr="00000000" w14:paraId="0000002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Flujo Operativo y Clínico Telesalud</w:t>
      </w:r>
    </w:p>
    <w:tbl>
      <w:tblPr>
        <w:tblStyle w:val="Table1"/>
        <w:tblW w:w="8822.0" w:type="dxa"/>
        <w:jc w:val="left"/>
        <w:tblLayout w:type="fixed"/>
        <w:tblLook w:val="0400"/>
      </w:tblPr>
      <w:tblGrid>
        <w:gridCol w:w="1032"/>
        <w:gridCol w:w="2026"/>
        <w:gridCol w:w="1856"/>
        <w:gridCol w:w="3908"/>
        <w:tblGridChange w:id="0">
          <w:tblGrid>
            <w:gridCol w:w="1032"/>
            <w:gridCol w:w="2026"/>
            <w:gridCol w:w="1856"/>
            <w:gridCol w:w="3908"/>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B">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Etapa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C">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Actividad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D">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E">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Acción</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F">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0">
            <w:pPr>
              <w:rPr>
                <w:rFonts w:ascii="Arial" w:cs="Arial" w:eastAsia="Arial" w:hAnsi="Arial"/>
                <w:sz w:val="24"/>
                <w:szCs w:val="24"/>
              </w:rPr>
            </w:pPr>
            <w:r w:rsidDel="00000000" w:rsidR="00000000" w:rsidRPr="00000000">
              <w:rPr>
                <w:rFonts w:ascii="Arial" w:cs="Arial" w:eastAsia="Arial" w:hAnsi="Arial"/>
                <w:sz w:val="24"/>
                <w:szCs w:val="24"/>
                <w:rtl w:val="0"/>
              </w:rPr>
              <w:t xml:space="preserve">Identificación de necesidad de </w:t>
            </w:r>
            <w:r w:rsidDel="00000000" w:rsidR="00000000" w:rsidRPr="00000000">
              <w:rPr>
                <w:rFonts w:ascii="Arial" w:cs="Arial" w:eastAsia="Arial" w:hAnsi="Arial"/>
                <w:sz w:val="24"/>
                <w:szCs w:val="24"/>
                <w:rtl w:val="0"/>
              </w:rPr>
              <w:t xml:space="preserve">teleexperticia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1">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asistencial (Remisor)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2">
            <w:pPr>
              <w:rPr>
                <w:rFonts w:ascii="Arial" w:cs="Arial" w:eastAsia="Arial" w:hAnsi="Arial"/>
                <w:sz w:val="24"/>
                <w:szCs w:val="24"/>
              </w:rPr>
            </w:pPr>
            <w:r w:rsidDel="00000000" w:rsidR="00000000" w:rsidRPr="00000000">
              <w:rPr>
                <w:rFonts w:ascii="Arial" w:cs="Arial" w:eastAsia="Arial" w:hAnsi="Arial"/>
                <w:sz w:val="24"/>
                <w:szCs w:val="24"/>
                <w:rtl w:val="0"/>
              </w:rPr>
              <w:t xml:space="preserve">Detección de sospecha clínica, tamizaje de riesgo en los primeros 20 minutos del ingreso mediante escalas ASBOG.</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3">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4">
            <w:pPr>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Verificación de requisitos clínicos y consentimiento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5">
            <w:pPr>
              <w:rPr>
                <w:rFonts w:ascii="Arial" w:cs="Arial" w:eastAsia="Arial" w:hAnsi="Arial"/>
                <w:sz w:val="24"/>
                <w:szCs w:val="24"/>
              </w:rPr>
            </w:pPr>
            <w:r w:rsidDel="00000000" w:rsidR="00000000" w:rsidRPr="00000000">
              <w:rPr>
                <w:rFonts w:ascii="Arial" w:cs="Arial" w:eastAsia="Arial" w:hAnsi="Arial"/>
                <w:sz w:val="24"/>
                <w:szCs w:val="24"/>
                <w:rtl w:val="0"/>
              </w:rPr>
              <w:t xml:space="preserve">Centro Remisor / Médico General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6">
            <w:pPr>
              <w:rPr>
                <w:rFonts w:ascii="Arial" w:cs="Arial" w:eastAsia="Arial" w:hAnsi="Arial"/>
                <w:sz w:val="24"/>
                <w:szCs w:val="24"/>
              </w:rPr>
            </w:pPr>
            <w:r w:rsidDel="00000000" w:rsidR="00000000" w:rsidRPr="00000000">
              <w:rPr>
                <w:rFonts w:ascii="Arial" w:cs="Arial" w:eastAsia="Arial" w:hAnsi="Arial"/>
                <w:sz w:val="24"/>
                <w:szCs w:val="24"/>
                <w:rtl w:val="0"/>
              </w:rPr>
              <w:t xml:space="preserve">Evaluación de criterios de inclusión/exclusión y firma de consentimiento informado para el uso de medios tecnológicos.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7">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8">
            <w:pPr>
              <w:rPr>
                <w:rFonts w:ascii="Arial" w:cs="Arial" w:eastAsia="Arial" w:hAnsi="Arial"/>
                <w:sz w:val="24"/>
                <w:szCs w:val="24"/>
              </w:rPr>
            </w:pPr>
            <w:r w:rsidDel="00000000" w:rsidR="00000000" w:rsidRPr="00000000">
              <w:rPr>
                <w:rFonts w:ascii="Arial" w:cs="Arial" w:eastAsia="Arial" w:hAnsi="Arial"/>
                <w:sz w:val="24"/>
                <w:szCs w:val="24"/>
                <w:rtl w:val="0"/>
              </w:rPr>
              <w:t xml:space="preserve">Diligenciamiento de solicitud y envío de datos clínicos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9">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solicitante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A">
            <w:pPr>
              <w:rPr>
                <w:rFonts w:ascii="Arial" w:cs="Arial" w:eastAsia="Arial" w:hAnsi="Arial"/>
                <w:sz w:val="24"/>
                <w:szCs w:val="24"/>
              </w:rPr>
            </w:pPr>
            <w:r w:rsidDel="00000000" w:rsidR="00000000" w:rsidRPr="00000000">
              <w:rPr>
                <w:rFonts w:ascii="Arial" w:cs="Arial" w:eastAsia="Arial" w:hAnsi="Arial"/>
                <w:sz w:val="24"/>
                <w:szCs w:val="24"/>
                <w:rtl w:val="0"/>
              </w:rPr>
              <w:t xml:space="preserve">Envío en un máximo de 15 min de ficha con datos clave (peso, plaquetas, creatinina) a canales corporativos: </w:t>
            </w:r>
            <w:r w:rsidDel="00000000" w:rsidR="00000000" w:rsidRPr="00000000">
              <w:rPr>
                <w:rFonts w:ascii="Arial" w:cs="Arial" w:eastAsia="Arial" w:hAnsi="Arial"/>
                <w:b w:val="1"/>
                <w:bCs w:val="1"/>
                <w:sz w:val="24"/>
                <w:szCs w:val="24"/>
                <w:rtl w:val="0"/>
              </w:rPr>
              <w:t xml:space="preserve">3228234549</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3228234532</w:t>
            </w:r>
            <w:r w:rsidDel="00000000" w:rsidR="00000000" w:rsidRPr="00000000">
              <w:rPr>
                <w:rFonts w:ascii="Arial" w:cs="Arial" w:eastAsia="Arial" w:hAnsi="Arial"/>
                <w:sz w:val="24"/>
                <w:szCs w:val="24"/>
                <w:rtl w:val="0"/>
              </w:rPr>
              <w:t xml:space="preserve"> y </w:t>
            </w:r>
            <w:r w:rsidDel="00000000" w:rsidR="00000000" w:rsidRPr="00000000">
              <w:rPr>
                <w:rFonts w:ascii="Arial" w:cs="Arial" w:eastAsia="Arial" w:hAnsi="Arial"/>
                <w:b w:val="1"/>
                <w:bCs w:val="1"/>
                <w:sz w:val="24"/>
                <w:szCs w:val="24"/>
                <w:rtl w:val="0"/>
              </w:rPr>
              <w:t xml:space="preserve">telemedicina.digital@hun.edu.co</w:t>
            </w:r>
            <w:r w:rsidDel="00000000" w:rsidR="00000000" w:rsidRPr="00000000">
              <w:rPr>
                <w:rFonts w:ascii="Arial" w:cs="Arial" w:eastAsia="Arial" w:hAnsi="Arial"/>
                <w:sz w:val="24"/>
                <w:szCs w:val="24"/>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B">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C">
            <w:pPr>
              <w:rPr>
                <w:rFonts w:ascii="Arial" w:cs="Arial" w:eastAsia="Arial" w:hAnsi="Arial"/>
                <w:sz w:val="24"/>
                <w:szCs w:val="24"/>
              </w:rPr>
            </w:pPr>
            <w:r w:rsidDel="00000000" w:rsidR="00000000" w:rsidRPr="00000000">
              <w:rPr>
                <w:rFonts w:ascii="Arial" w:cs="Arial" w:eastAsia="Arial" w:hAnsi="Arial"/>
                <w:sz w:val="24"/>
                <w:szCs w:val="24"/>
                <w:rtl w:val="0"/>
              </w:rPr>
              <w:t xml:space="preserve">Recepción y validación de información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D">
            <w:pPr>
              <w:rPr>
                <w:rFonts w:ascii="Arial" w:cs="Arial" w:eastAsia="Arial" w:hAnsi="Arial"/>
                <w:sz w:val="24"/>
                <w:szCs w:val="24"/>
              </w:rPr>
            </w:pPr>
            <w:bookmarkStart w:colFirst="0" w:colLast="0" w:name="_heading=h.8iquha7qd9ax" w:id="0"/>
            <w:bookmarkEnd w:id="0"/>
            <w:r w:rsidDel="00000000" w:rsidR="00000000" w:rsidRPr="00000000">
              <w:rPr>
                <w:rFonts w:ascii="Arial" w:cs="Arial" w:eastAsia="Arial" w:hAnsi="Arial"/>
                <w:sz w:val="24"/>
                <w:szCs w:val="24"/>
                <w:rtl w:val="0"/>
              </w:rPr>
              <w:t xml:space="preserve">Centro Referente / Profesional Experto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E">
            <w:pPr>
              <w:rPr>
                <w:rFonts w:ascii="Arial" w:cs="Arial" w:eastAsia="Arial" w:hAnsi="Arial"/>
                <w:sz w:val="24"/>
                <w:szCs w:val="24"/>
              </w:rPr>
            </w:pPr>
            <w:r w:rsidDel="00000000" w:rsidR="00000000" w:rsidRPr="00000000">
              <w:rPr>
                <w:rFonts w:ascii="Arial" w:cs="Arial" w:eastAsia="Arial" w:hAnsi="Arial"/>
                <w:sz w:val="24"/>
                <w:szCs w:val="24"/>
                <w:rtl w:val="0"/>
              </w:rPr>
              <w:t xml:space="preserve">Recepción de la solicitud, validación documental y </w:t>
            </w:r>
            <w:r w:rsidDel="00000000" w:rsidR="00000000" w:rsidRPr="00000000">
              <w:rPr>
                <w:rFonts w:ascii="Arial" w:cs="Arial" w:eastAsia="Arial" w:hAnsi="Arial"/>
                <w:sz w:val="24"/>
                <w:szCs w:val="24"/>
                <w:rtl w:val="0"/>
              </w:rPr>
              <w:t xml:space="preserve">cargue</w:t>
            </w:r>
            <w:r w:rsidDel="00000000" w:rsidR="00000000" w:rsidRPr="00000000">
              <w:rPr>
                <w:rFonts w:ascii="Arial" w:cs="Arial" w:eastAsia="Arial" w:hAnsi="Arial"/>
                <w:sz w:val="24"/>
                <w:szCs w:val="24"/>
                <w:rtl w:val="0"/>
              </w:rPr>
              <w:t xml:space="preserve"> administrativo en la plataforma institucional Hosvital.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F">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0">
            <w:pPr>
              <w:rPr>
                <w:rFonts w:ascii="Arial" w:cs="Arial" w:eastAsia="Arial" w:hAnsi="Arial"/>
                <w:sz w:val="24"/>
                <w:szCs w:val="24"/>
              </w:rPr>
            </w:pPr>
            <w:r w:rsidDel="00000000" w:rsidR="00000000" w:rsidRPr="00000000">
              <w:rPr>
                <w:rFonts w:ascii="Arial" w:cs="Arial" w:eastAsia="Arial" w:hAnsi="Arial"/>
                <w:sz w:val="24"/>
                <w:szCs w:val="24"/>
                <w:rtl w:val="0"/>
              </w:rPr>
              <w:t xml:space="preserve">Análisis de caso y concepto clínico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1">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experto (Ginecobstetra / Perinatólogo)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2">
            <w:pPr>
              <w:rPr>
                <w:rFonts w:ascii="Arial" w:cs="Arial" w:eastAsia="Arial" w:hAnsi="Arial"/>
                <w:sz w:val="24"/>
                <w:szCs w:val="24"/>
              </w:rPr>
            </w:pPr>
            <w:r w:rsidDel="00000000" w:rsidR="00000000" w:rsidRPr="00000000">
              <w:rPr>
                <w:rFonts w:ascii="Arial" w:cs="Arial" w:eastAsia="Arial" w:hAnsi="Arial"/>
                <w:sz w:val="24"/>
                <w:szCs w:val="24"/>
                <w:rtl w:val="0"/>
              </w:rPr>
              <w:t xml:space="preserve">Diálogo técnico sincrónico, análisis de variabilidad clínica y registro del concepto estructurado en la Historia Clínica de </w:t>
            </w:r>
            <w:r w:rsidDel="00000000" w:rsidR="00000000" w:rsidRPr="00000000">
              <w:rPr>
                <w:rFonts w:ascii="Arial" w:cs="Arial" w:eastAsia="Arial" w:hAnsi="Arial"/>
                <w:sz w:val="24"/>
                <w:szCs w:val="24"/>
                <w:rtl w:val="0"/>
              </w:rPr>
              <w:t xml:space="preserve">Hosvital</w:t>
            </w:r>
            <w:r w:rsidDel="00000000" w:rsidR="00000000" w:rsidRPr="00000000">
              <w:rPr>
                <w:rFonts w:ascii="Arial" w:cs="Arial" w:eastAsia="Arial" w:hAnsi="Arial"/>
                <w:sz w:val="24"/>
                <w:szCs w:val="24"/>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3">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4">
            <w:pPr>
              <w:rPr>
                <w:rFonts w:ascii="Arial" w:cs="Arial" w:eastAsia="Arial" w:hAnsi="Arial"/>
                <w:sz w:val="24"/>
                <w:szCs w:val="24"/>
              </w:rPr>
            </w:pPr>
            <w:r w:rsidDel="00000000" w:rsidR="00000000" w:rsidRPr="00000000">
              <w:rPr>
                <w:rFonts w:ascii="Arial" w:cs="Arial" w:eastAsia="Arial" w:hAnsi="Arial"/>
                <w:sz w:val="24"/>
                <w:szCs w:val="24"/>
                <w:rtl w:val="0"/>
              </w:rPr>
              <w:t xml:space="preserve">Envío de ordenamiento y pautas de seguridad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5">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experto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6">
            <w:pPr>
              <w:rPr>
                <w:rFonts w:ascii="Arial" w:cs="Arial" w:eastAsia="Arial" w:hAnsi="Arial"/>
                <w:sz w:val="24"/>
                <w:szCs w:val="24"/>
              </w:rPr>
            </w:pPr>
            <w:r w:rsidDel="00000000" w:rsidR="00000000" w:rsidRPr="00000000">
              <w:rPr>
                <w:rFonts w:ascii="Arial" w:cs="Arial" w:eastAsia="Arial" w:hAnsi="Arial"/>
                <w:sz w:val="24"/>
                <w:szCs w:val="24"/>
                <w:rtl w:val="0"/>
              </w:rPr>
              <w:t xml:space="preserve">Envío del soporte del concepto y dosis farmacológica calculada a través del correo corporativo institucional.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7">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8">
            <w:pPr>
              <w:rPr>
                <w:rFonts w:ascii="Arial" w:cs="Arial" w:eastAsia="Arial" w:hAnsi="Arial"/>
                <w:sz w:val="24"/>
                <w:szCs w:val="24"/>
              </w:rPr>
            </w:pPr>
            <w:r w:rsidDel="00000000" w:rsidR="00000000" w:rsidRPr="00000000">
              <w:rPr>
                <w:rFonts w:ascii="Arial" w:cs="Arial" w:eastAsia="Arial" w:hAnsi="Arial"/>
                <w:sz w:val="24"/>
                <w:szCs w:val="24"/>
                <w:rtl w:val="0"/>
              </w:rPr>
              <w:t xml:space="preserve">Ejecución y monitoreo local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9">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solicitante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A">
            <w:pPr>
              <w:rPr>
                <w:rFonts w:ascii="Arial" w:cs="Arial" w:eastAsia="Arial" w:hAnsi="Arial"/>
                <w:sz w:val="24"/>
                <w:szCs w:val="24"/>
              </w:rPr>
            </w:pPr>
            <w:r w:rsidDel="00000000" w:rsidR="00000000" w:rsidRPr="00000000">
              <w:rPr>
                <w:rFonts w:ascii="Arial" w:cs="Arial" w:eastAsia="Arial" w:hAnsi="Arial"/>
                <w:sz w:val="24"/>
                <w:szCs w:val="24"/>
                <w:rtl w:val="0"/>
              </w:rPr>
              <w:t xml:space="preserve">Aplicación subcutánea del fármaco (puerta-</w:t>
            </w:r>
            <w:r w:rsidDel="00000000" w:rsidR="00000000" w:rsidRPr="00000000">
              <w:rPr>
                <w:rFonts w:ascii="Arial" w:cs="Arial" w:eastAsia="Arial" w:hAnsi="Arial"/>
                <w:sz w:val="24"/>
                <w:szCs w:val="24"/>
                <w:rtl w:val="0"/>
              </w:rPr>
              <w:t xml:space="preserve">aguja &lt;60</w:t>
            </w:r>
            <w:r w:rsidDel="00000000" w:rsidR="00000000" w:rsidRPr="00000000">
              <w:rPr>
                <w:rFonts w:ascii="Arial" w:cs="Arial" w:eastAsia="Arial" w:hAnsi="Arial"/>
                <w:sz w:val="24"/>
                <w:szCs w:val="24"/>
                <w:rtl w:val="0"/>
              </w:rPr>
              <w:t xml:space="preserve"> min), educación a la paciente y registro final en la historia clínica local.</w:t>
            </w:r>
          </w:p>
        </w:tc>
      </w:tr>
    </w:tbl>
    <w:p w:rsidR="00000000" w:rsidDel="00000000" w:rsidP="00000000" w:rsidRDefault="00000000" w:rsidRPr="00000000" w14:paraId="0000004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Criterios de Inclusión / Exclusión Telesalud</w:t>
      </w:r>
    </w:p>
    <w:p w:rsidR="00000000" w:rsidDel="00000000" w:rsidP="00000000" w:rsidRDefault="00000000" w:rsidRPr="00000000" w14:paraId="0000004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Criterios de Inclusión (Activación Obligatoria)</w:t>
      </w:r>
    </w:p>
    <w:p w:rsidR="00000000" w:rsidDel="00000000" w:rsidP="00000000" w:rsidRDefault="00000000" w:rsidRPr="00000000" w14:paraId="0000004D">
      <w:pPr>
        <w:numPr>
          <w:ilvl w:val="0"/>
          <w:numId w:val="14"/>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Gestantes o puérperas con una puntuación de riesgo </w:t>
      </w:r>
      <w:r w:rsidDel="00000000" w:rsidR="00000000" w:rsidRPr="00000000">
        <w:rPr>
          <w:rFonts w:ascii="Arial" w:cs="Arial" w:eastAsia="Arial" w:hAnsi="Arial"/>
          <w:b w:val="1"/>
          <w:bCs w:val="1"/>
          <w:sz w:val="24"/>
          <w:szCs w:val="24"/>
          <w:rtl w:val="0"/>
        </w:rPr>
        <w:t xml:space="preserve">Moderado (3 - 5 factores de riesgo)</w:t>
      </w:r>
      <w:r w:rsidDel="00000000" w:rsidR="00000000" w:rsidRPr="00000000">
        <w:rPr>
          <w:rFonts w:ascii="Arial" w:cs="Arial" w:eastAsia="Arial" w:hAnsi="Arial"/>
          <w:sz w:val="24"/>
          <w:szCs w:val="24"/>
          <w:rtl w:val="0"/>
        </w:rPr>
        <w:t xml:space="preserve"> en la escala de estratificación.</w:t>
      </w:r>
    </w:p>
    <w:p w:rsidR="00000000" w:rsidDel="00000000" w:rsidP="00000000" w:rsidRDefault="00000000" w:rsidRPr="00000000" w14:paraId="0000004E">
      <w:pPr>
        <w:numPr>
          <w:ilvl w:val="0"/>
          <w:numId w:val="14"/>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Gestantes o puérperas con riesgo </w:t>
      </w:r>
      <w:sdt>
        <w:sdtPr>
          <w:id w:val="120184599"/>
          <w:tag w:val="goog_rdk_0"/>
        </w:sdtPr>
        <w:sdtContent>
          <w:r w:rsidDel="00000000" w:rsidR="00000000" w:rsidRPr="00000000">
            <w:rPr>
              <w:rFonts w:ascii="Arial Unicode MS" w:cs="Arial Unicode MS" w:eastAsia="Arial Unicode MS" w:hAnsi="Arial Unicode MS"/>
              <w:b w:val="1"/>
              <w:bCs w:val="1"/>
              <w:sz w:val="24"/>
              <w:szCs w:val="24"/>
              <w:rtl w:val="0"/>
            </w:rPr>
            <w:t xml:space="preserve">Alto o Muy Alto (≥ 6 factores de riesgo)</w:t>
          </w:r>
        </w:sdtContent>
      </w:sdt>
      <w:r w:rsidDel="00000000" w:rsidR="00000000" w:rsidRPr="00000000">
        <w:rPr>
          <w:rFonts w:ascii="Arial" w:cs="Arial" w:eastAsia="Arial" w:hAnsi="Arial"/>
          <w:sz w:val="24"/>
          <w:szCs w:val="24"/>
          <w:rtl w:val="0"/>
        </w:rPr>
        <w:t xml:space="preserve"> o diagnóstico confirmado de Trombofilias de alto/muy alto riesgo.</w:t>
      </w:r>
    </w:p>
    <w:p w:rsidR="00000000" w:rsidDel="00000000" w:rsidP="00000000" w:rsidRDefault="00000000" w:rsidRPr="00000000" w14:paraId="0000004F">
      <w:pPr>
        <w:numPr>
          <w:ilvl w:val="0"/>
          <w:numId w:val="14"/>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Pacientes obstétricas con requerimiento de hospitalización prolongada no relacionada con el parto por más de 4 horas.</w:t>
      </w:r>
    </w:p>
    <w:p w:rsidR="00000000" w:rsidDel="00000000" w:rsidP="00000000" w:rsidRDefault="00000000" w:rsidRPr="00000000" w14:paraId="0000005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Contraindicaciones Absolutas para Farmacoterapia (Criterios de Exclusión Clínica)</w:t>
      </w:r>
    </w:p>
    <w:p w:rsidR="00000000" w:rsidDel="00000000" w:rsidP="00000000" w:rsidRDefault="00000000" w:rsidRPr="00000000" w14:paraId="00000051">
      <w:pPr>
        <w:numPr>
          <w:ilvl w:val="0"/>
          <w:numId w:val="15"/>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Hemorragia activa clínicamente significativa o riesgo inminente de sangrado mayor.</w:t>
      </w:r>
    </w:p>
    <w:p w:rsidR="00000000" w:rsidDel="00000000" w:rsidP="00000000" w:rsidRDefault="00000000" w:rsidRPr="00000000" w14:paraId="00000052">
      <w:pPr>
        <w:numPr>
          <w:ilvl w:val="0"/>
          <w:numId w:val="15"/>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Trombocitopenia severa (recuento de plaquetas &lt; 75.000 plq/uL).</w:t>
      </w:r>
    </w:p>
    <w:p w:rsidR="00000000" w:rsidDel="00000000" w:rsidP="00000000" w:rsidRDefault="00000000" w:rsidRPr="00000000" w14:paraId="00000053">
      <w:pPr>
        <w:numPr>
          <w:ilvl w:val="0"/>
          <w:numId w:val="15"/>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Ictus hemorrágico reciente (en las últimas 4 semanas).</w:t>
      </w:r>
    </w:p>
    <w:p w:rsidR="00000000" w:rsidDel="00000000" w:rsidP="00000000" w:rsidRDefault="00000000" w:rsidRPr="00000000" w14:paraId="00000054">
      <w:pPr>
        <w:numPr>
          <w:ilvl w:val="0"/>
          <w:numId w:val="15"/>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Enfermedad renal crónica severa (Depuración de Creatinina &lt; 30 ml/min) sin ajuste estricto.</w:t>
      </w:r>
    </w:p>
    <w:p w:rsidR="00000000" w:rsidDel="00000000" w:rsidP="00000000" w:rsidRDefault="00000000" w:rsidRPr="00000000" w14:paraId="00000055">
      <w:pPr>
        <w:numPr>
          <w:ilvl w:val="0"/>
          <w:numId w:val="15"/>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Hipersensibilidad conocida o alergia documentada a la heparina o componentes.</w:t>
      </w:r>
    </w:p>
    <w:p w:rsidR="00000000" w:rsidDel="00000000" w:rsidP="00000000" w:rsidRDefault="00000000" w:rsidRPr="00000000" w14:paraId="0000005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Criterios de Remisión Física Inmediata</w:t>
      </w:r>
    </w:p>
    <w:p w:rsidR="00000000" w:rsidDel="00000000" w:rsidP="00000000" w:rsidRDefault="00000000" w:rsidRPr="00000000" w14:paraId="00000057">
      <w:pPr>
        <w:numPr>
          <w:ilvl w:val="0"/>
          <w:numId w:val="16"/>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Presencia de signos francos o sospecha clínica consolidada de trombosis venosa profunda activa (edema asimétrico, dolor, eritema en miembro inferior) o tromboembolismo pulmonar (disnea súbita, dolor pleurítico, desaturación), lo cual condiciona traslado vital a nivel III o IV.</w:t>
      </w:r>
    </w:p>
    <w:p w:rsidR="00000000" w:rsidDel="00000000" w:rsidP="00000000" w:rsidRDefault="00000000" w:rsidRPr="00000000" w14:paraId="0000005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Roles y Responsabilidades Telesalud</w:t>
      </w:r>
    </w:p>
    <w:p w:rsidR="00000000" w:rsidDel="00000000" w:rsidP="00000000" w:rsidRDefault="00000000" w:rsidRPr="00000000" w14:paraId="0000005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Profesional Solicitante (Centro Remisor)</w:t>
      </w:r>
    </w:p>
    <w:p w:rsidR="00000000" w:rsidDel="00000000" w:rsidP="00000000" w:rsidRDefault="00000000" w:rsidRPr="00000000" w14:paraId="0000005B">
      <w:pPr>
        <w:numPr>
          <w:ilvl w:val="0"/>
          <w:numId w:val="1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Generar la solicitud formal de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utilizando los canales corporativos establecidos.</w:t>
      </w:r>
    </w:p>
    <w:p w:rsidR="00000000" w:rsidDel="00000000" w:rsidP="00000000" w:rsidRDefault="00000000" w:rsidRPr="00000000" w14:paraId="0000005C">
      <w:pPr>
        <w:numPr>
          <w:ilvl w:val="0"/>
          <w:numId w:val="1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Garantizar información clínica clara, completa, fidedigna y pertinente (paraclínicos básicos de seguridad: Plaquetas y Creatinina).</w:t>
      </w:r>
    </w:p>
    <w:p w:rsidR="00000000" w:rsidDel="00000000" w:rsidP="00000000" w:rsidRDefault="00000000" w:rsidRPr="00000000" w14:paraId="0000005D">
      <w:pPr>
        <w:numPr>
          <w:ilvl w:val="0"/>
          <w:numId w:val="1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Asegurar el consentimiento informado debidamente diligenciado por el paciente para el uso de medios tecnológicos.</w:t>
      </w:r>
    </w:p>
    <w:p w:rsidR="00000000" w:rsidDel="00000000" w:rsidP="00000000" w:rsidRDefault="00000000" w:rsidRPr="00000000" w14:paraId="0000005E">
      <w:pPr>
        <w:numPr>
          <w:ilvl w:val="0"/>
          <w:numId w:val="1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Realizar de forma exacta las acciones derivadas de las recomendaciones emitidas por el experto (administración "puerta-aguja" </w:t>
      </w:r>
      <w:r w:rsidDel="00000000" w:rsidR="00000000" w:rsidRPr="00000000">
        <w:rPr>
          <w:rFonts w:ascii="Arial" w:cs="Arial" w:eastAsia="Arial" w:hAnsi="Arial"/>
          <w:sz w:val="24"/>
          <w:szCs w:val="24"/>
          <w:rtl w:val="0"/>
        </w:rPr>
        <w:t xml:space="preserve">en &lt;60</w:t>
      </w:r>
      <w:r w:rsidDel="00000000" w:rsidR="00000000" w:rsidRPr="00000000">
        <w:rPr>
          <w:rFonts w:ascii="Arial" w:cs="Arial" w:eastAsia="Arial" w:hAnsi="Arial"/>
          <w:sz w:val="24"/>
          <w:szCs w:val="24"/>
          <w:rtl w:val="0"/>
        </w:rPr>
        <w:t xml:space="preserve"> min).</w:t>
      </w:r>
    </w:p>
    <w:p w:rsidR="00000000" w:rsidDel="00000000" w:rsidP="00000000" w:rsidRDefault="00000000" w:rsidRPr="00000000" w14:paraId="0000005F">
      <w:pPr>
        <w:numPr>
          <w:ilvl w:val="0"/>
          <w:numId w:val="1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Registrar detalladamente la interacción de telesalud y las conductas en la historia clínica local.</w:t>
      </w:r>
    </w:p>
    <w:p w:rsidR="00000000" w:rsidDel="00000000" w:rsidP="00000000" w:rsidRDefault="00000000" w:rsidRPr="00000000" w14:paraId="0000006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Profesional Experto (Centro Referente)</w:t>
      </w:r>
    </w:p>
    <w:p w:rsidR="00000000" w:rsidDel="00000000" w:rsidP="00000000" w:rsidRDefault="00000000" w:rsidRPr="00000000" w14:paraId="00000062">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Analizar de forma exhaustiva la información recibida y emitir el concepto técnico-clínico respectivo.</w:t>
      </w:r>
    </w:p>
    <w:p w:rsidR="00000000" w:rsidDel="00000000" w:rsidP="00000000" w:rsidRDefault="00000000" w:rsidRPr="00000000" w14:paraId="00000063">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Garantizar recomendaciones farmacológicas personalizadas, fundamentadas en la mejor evidencia científica y ajustadas al peso real.</w:t>
      </w:r>
    </w:p>
    <w:p w:rsidR="00000000" w:rsidDel="00000000" w:rsidP="00000000" w:rsidRDefault="00000000" w:rsidRPr="00000000" w14:paraId="00000064">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Registrar la opinión médica, dosis validadas y directrices de seguridad (ventanas hemostáticas) en la historia clínica de </w:t>
      </w:r>
      <w:r w:rsidDel="00000000" w:rsidR="00000000" w:rsidRPr="00000000">
        <w:rPr>
          <w:rFonts w:ascii="Arial" w:cs="Arial" w:eastAsia="Arial" w:hAnsi="Arial"/>
          <w:sz w:val="24"/>
          <w:szCs w:val="24"/>
          <w:rtl w:val="0"/>
        </w:rPr>
        <w:t xml:space="preserve">Hosvital</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65">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Respetar rigurosamente los tiempos de respuesta estipulados según el triaje.</w:t>
      </w:r>
    </w:p>
    <w:p w:rsidR="00000000" w:rsidDel="00000000" w:rsidP="00000000" w:rsidRDefault="00000000" w:rsidRPr="00000000" w14:paraId="0000006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Dosificación de Referencia Clínico-Especializada (Validada por el Experto)</w:t>
      </w:r>
    </w:p>
    <w:p w:rsidR="00000000" w:rsidDel="00000000" w:rsidP="00000000" w:rsidRDefault="00000000" w:rsidRPr="00000000" w14:paraId="00000067">
      <w:pPr>
        <w:rPr>
          <w:rFonts w:ascii="Arial" w:cs="Arial" w:eastAsia="Arial" w:hAnsi="Arial"/>
          <w:sz w:val="24"/>
          <w:szCs w:val="24"/>
        </w:rPr>
      </w:pPr>
      <w:r w:rsidDel="00000000" w:rsidR="00000000" w:rsidRPr="00000000">
        <w:rPr>
          <w:rFonts w:ascii="Arial" w:cs="Arial" w:eastAsia="Arial" w:hAnsi="Arial"/>
          <w:sz w:val="24"/>
          <w:szCs w:val="24"/>
          <w:rtl w:val="0"/>
        </w:rPr>
        <w:t xml:space="preserve">El especialista determinará el esquema con base en el peso real de la paciente mediante el siguiente estándar de HBPM (vía subcutánea cada 24 horas):</w:t>
      </w:r>
    </w:p>
    <w:p w:rsidR="00000000" w:rsidDel="00000000" w:rsidP="00000000" w:rsidRDefault="00000000" w:rsidRPr="00000000" w14:paraId="00000068">
      <w:pPr>
        <w:numPr>
          <w:ilvl w:val="0"/>
          <w:numId w:val="2"/>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&lt; 50 kg:</w:t>
      </w:r>
      <w:r w:rsidDel="00000000" w:rsidR="00000000" w:rsidRPr="00000000">
        <w:rPr>
          <w:rFonts w:ascii="Arial" w:cs="Arial" w:eastAsia="Arial" w:hAnsi="Arial"/>
          <w:sz w:val="24"/>
          <w:szCs w:val="24"/>
          <w:rtl w:val="0"/>
        </w:rPr>
        <w:t xml:space="preserve"> Enoxaparina 20 mg | Dalteparina 2.500 UI | Nadroparina 2.850 UI (0.3 ml).</w:t>
      </w:r>
    </w:p>
    <w:p w:rsidR="00000000" w:rsidDel="00000000" w:rsidP="00000000" w:rsidRDefault="00000000" w:rsidRPr="00000000" w14:paraId="00000069">
      <w:pPr>
        <w:numPr>
          <w:ilvl w:val="0"/>
          <w:numId w:val="2"/>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50 - 90 kg:</w:t>
      </w:r>
      <w:r w:rsidDel="00000000" w:rsidR="00000000" w:rsidRPr="00000000">
        <w:rPr>
          <w:rFonts w:ascii="Arial" w:cs="Arial" w:eastAsia="Arial" w:hAnsi="Arial"/>
          <w:sz w:val="24"/>
          <w:szCs w:val="24"/>
          <w:rtl w:val="0"/>
        </w:rPr>
        <w:t xml:space="preserve"> Enoxaparina 40 mg | Dalteparina 5.000 UI | Nadroparina 2.850 UI (0.3 ml).</w:t>
      </w:r>
    </w:p>
    <w:p w:rsidR="00000000" w:rsidDel="00000000" w:rsidP="00000000" w:rsidRDefault="00000000" w:rsidRPr="00000000" w14:paraId="0000006A">
      <w:pPr>
        <w:numPr>
          <w:ilvl w:val="0"/>
          <w:numId w:val="2"/>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91 - 130 kg:</w:t>
      </w:r>
      <w:r w:rsidDel="00000000" w:rsidR="00000000" w:rsidRPr="00000000">
        <w:rPr>
          <w:rFonts w:ascii="Arial" w:cs="Arial" w:eastAsia="Arial" w:hAnsi="Arial"/>
          <w:sz w:val="24"/>
          <w:szCs w:val="24"/>
          <w:rtl w:val="0"/>
        </w:rPr>
        <w:t xml:space="preserve"> Enoxaparina 60 mg | Dalteparina 7.500 UI | Nadroparina 5.700 UI (0.6 ml).</w:t>
      </w:r>
    </w:p>
    <w:p w:rsidR="00000000" w:rsidDel="00000000" w:rsidP="00000000" w:rsidRDefault="00000000" w:rsidRPr="00000000" w14:paraId="0000006B">
      <w:pPr>
        <w:numPr>
          <w:ilvl w:val="0"/>
          <w:numId w:val="2"/>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131 - 170 kg:</w:t>
      </w:r>
      <w:r w:rsidDel="00000000" w:rsidR="00000000" w:rsidRPr="00000000">
        <w:rPr>
          <w:rFonts w:ascii="Arial" w:cs="Arial" w:eastAsia="Arial" w:hAnsi="Arial"/>
          <w:sz w:val="24"/>
          <w:szCs w:val="24"/>
          <w:rtl w:val="0"/>
        </w:rPr>
        <w:t xml:space="preserve"> Enoxaparina 80 mg | Dalteparina 10.000 UI | Nadroparina 8.550 UI (0.9 ml).</w:t>
      </w:r>
    </w:p>
    <w:p w:rsidR="00000000" w:rsidDel="00000000" w:rsidP="00000000" w:rsidRDefault="00000000" w:rsidRPr="00000000" w14:paraId="0000006C">
      <w:pPr>
        <w:numPr>
          <w:ilvl w:val="0"/>
          <w:numId w:val="2"/>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&gt; 170 kg:</w:t>
      </w:r>
      <w:r w:rsidDel="00000000" w:rsidR="00000000" w:rsidRPr="00000000">
        <w:rPr>
          <w:rFonts w:ascii="Arial" w:cs="Arial" w:eastAsia="Arial" w:hAnsi="Arial"/>
          <w:sz w:val="24"/>
          <w:szCs w:val="24"/>
          <w:rtl w:val="0"/>
        </w:rPr>
        <w:t xml:space="preserve"> Enoxaparina 0.6 mg/kg/día | Dalteparina 75 UI/kg/día.</w:t>
      </w:r>
    </w:p>
    <w:p w:rsidR="00000000" w:rsidDel="00000000" w:rsidP="00000000" w:rsidRDefault="00000000" w:rsidRPr="00000000" w14:paraId="0000006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Tiempos de Respuesta Sugeridos</w:t>
      </w:r>
    </w:p>
    <w:p w:rsidR="00000000" w:rsidDel="00000000" w:rsidP="00000000" w:rsidRDefault="00000000" w:rsidRPr="00000000" w14:paraId="0000006F">
      <w:pPr>
        <w:numPr>
          <w:ilvl w:val="0"/>
          <w:numId w:val="3"/>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Identificación y Tamizaje de Riesgo:</w:t>
      </w:r>
      <w:r w:rsidDel="00000000" w:rsidR="00000000" w:rsidRPr="00000000">
        <w:rPr>
          <w:rFonts w:ascii="Arial" w:cs="Arial" w:eastAsia="Arial" w:hAnsi="Arial"/>
          <w:sz w:val="24"/>
          <w:szCs w:val="24"/>
          <w:rtl w:val="0"/>
        </w:rPr>
        <w:t xml:space="preserve"> Debe ser realizado en los primeros </w:t>
      </w:r>
      <w:r w:rsidDel="00000000" w:rsidR="00000000" w:rsidRPr="00000000">
        <w:rPr>
          <w:rFonts w:ascii="Arial" w:cs="Arial" w:eastAsia="Arial" w:hAnsi="Arial"/>
          <w:b w:val="1"/>
          <w:bCs w:val="1"/>
          <w:sz w:val="24"/>
          <w:szCs w:val="24"/>
          <w:rtl w:val="0"/>
        </w:rPr>
        <w:t xml:space="preserve">20 minutos</w:t>
      </w:r>
      <w:r w:rsidDel="00000000" w:rsidR="00000000" w:rsidRPr="00000000">
        <w:rPr>
          <w:rFonts w:ascii="Arial" w:cs="Arial" w:eastAsia="Arial" w:hAnsi="Arial"/>
          <w:sz w:val="24"/>
          <w:szCs w:val="24"/>
          <w:rtl w:val="0"/>
        </w:rPr>
        <w:t xml:space="preserve"> desde el ingreso de la paciente al servicio asistencial.</w:t>
      </w:r>
    </w:p>
    <w:p w:rsidR="00000000" w:rsidDel="00000000" w:rsidP="00000000" w:rsidRDefault="00000000" w:rsidRPr="00000000" w14:paraId="00000070">
      <w:pPr>
        <w:numPr>
          <w:ilvl w:val="0"/>
          <w:numId w:val="3"/>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Radicación de la Solicitud:</w:t>
      </w:r>
      <w:sdt>
        <w:sdtPr>
          <w:id w:val="1379861529"/>
          <w:tag w:val="goog_rdk_1"/>
        </w:sdtPr>
        <w:sdtContent>
          <w:r w:rsidDel="00000000" w:rsidR="00000000" w:rsidRPr="00000000">
            <w:rPr>
              <w:rFonts w:ascii="Arial Unicode MS" w:cs="Arial Unicode MS" w:eastAsia="Arial Unicode MS" w:hAnsi="Arial Unicode MS"/>
              <w:sz w:val="24"/>
              <w:szCs w:val="24"/>
              <w:rtl w:val="0"/>
            </w:rPr>
            <w:t xml:space="preserve"> Una vez se detecta una puntuación de riesgo ≥ 3, el remisor cuenta con un máximo de </w:t>
          </w:r>
        </w:sdtContent>
      </w:sdt>
      <w:r w:rsidDel="00000000" w:rsidR="00000000" w:rsidRPr="00000000">
        <w:rPr>
          <w:rFonts w:ascii="Arial" w:cs="Arial" w:eastAsia="Arial" w:hAnsi="Arial"/>
          <w:b w:val="1"/>
          <w:bCs w:val="1"/>
          <w:sz w:val="24"/>
          <w:szCs w:val="24"/>
          <w:rtl w:val="0"/>
        </w:rPr>
        <w:t xml:space="preserve">15 minutos</w:t>
      </w:r>
      <w:r w:rsidDel="00000000" w:rsidR="00000000" w:rsidRPr="00000000">
        <w:rPr>
          <w:rFonts w:ascii="Arial" w:cs="Arial" w:eastAsia="Arial" w:hAnsi="Arial"/>
          <w:sz w:val="24"/>
          <w:szCs w:val="24"/>
          <w:rtl w:val="0"/>
        </w:rPr>
        <w:t xml:space="preserve"> para enviar los datos clínicos.</w:t>
      </w:r>
    </w:p>
    <w:p w:rsidR="00000000" w:rsidDel="00000000" w:rsidP="00000000" w:rsidRDefault="00000000" w:rsidRPr="00000000" w14:paraId="00000071">
      <w:pPr>
        <w:numPr>
          <w:ilvl w:val="0"/>
          <w:numId w:val="3"/>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Respuesta Sincrónica Urgente (Riesgo Alto/Hospitalización):</w:t>
      </w:r>
      <w:r w:rsidDel="00000000" w:rsidR="00000000" w:rsidRPr="00000000">
        <w:rPr>
          <w:rFonts w:ascii="Arial" w:cs="Arial" w:eastAsia="Arial" w:hAnsi="Arial"/>
          <w:sz w:val="24"/>
          <w:szCs w:val="24"/>
          <w:rtl w:val="0"/>
        </w:rPr>
        <w:t xml:space="preserve"> El profesional experto del centro referente debe emitir concepto en un tiempo menor o igual a </w:t>
      </w:r>
      <w:r w:rsidDel="00000000" w:rsidR="00000000" w:rsidRPr="00000000">
        <w:rPr>
          <w:rFonts w:ascii="Arial" w:cs="Arial" w:eastAsia="Arial" w:hAnsi="Arial"/>
          <w:b w:val="1"/>
          <w:bCs w:val="1"/>
          <w:sz w:val="24"/>
          <w:szCs w:val="24"/>
          <w:rtl w:val="0"/>
        </w:rPr>
        <w:t xml:space="preserve">30 minutos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72">
      <w:pPr>
        <w:numPr>
          <w:ilvl w:val="0"/>
          <w:numId w:val="3"/>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Respuesta Sincrónica Prioritaria (Plan de Egreso / Puerperio):</w:t>
      </w:r>
      <w:r w:rsidDel="00000000" w:rsidR="00000000" w:rsidRPr="00000000">
        <w:rPr>
          <w:rFonts w:ascii="Arial" w:cs="Arial" w:eastAsia="Arial" w:hAnsi="Arial"/>
          <w:sz w:val="24"/>
          <w:szCs w:val="24"/>
          <w:rtl w:val="0"/>
        </w:rPr>
        <w:t xml:space="preserve"> Para la organización de la tromboprofilaxis ambulatoria al alta, el tiempo máximo de respuesta será menor o igual a </w:t>
      </w:r>
      <w:r w:rsidDel="00000000" w:rsidR="00000000" w:rsidRPr="00000000">
        <w:rPr>
          <w:rFonts w:ascii="Arial" w:cs="Arial" w:eastAsia="Arial" w:hAnsi="Arial"/>
          <w:b w:val="1"/>
          <w:bCs w:val="1"/>
          <w:sz w:val="24"/>
          <w:szCs w:val="24"/>
          <w:rtl w:val="0"/>
        </w:rPr>
        <w:t xml:space="preserve">2 horas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73">
      <w:pPr>
        <w:numPr>
          <w:ilvl w:val="0"/>
          <w:numId w:val="3"/>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Inicio del Tratamiento (Tiempo Puerta-Aguja):</w:t>
      </w:r>
      <w:r w:rsidDel="00000000" w:rsidR="00000000" w:rsidRPr="00000000">
        <w:rPr>
          <w:rFonts w:ascii="Arial" w:cs="Arial" w:eastAsia="Arial" w:hAnsi="Arial"/>
          <w:sz w:val="24"/>
          <w:szCs w:val="24"/>
          <w:rtl w:val="0"/>
        </w:rPr>
        <w:t xml:space="preserve"> Desde la validación del experto hasta la aplicación de la primera dosis de HBPM en el centro remisor, no deben pasar más de </w:t>
      </w:r>
      <w:r w:rsidDel="00000000" w:rsidR="00000000" w:rsidRPr="00000000">
        <w:rPr>
          <w:rFonts w:ascii="Arial" w:cs="Arial" w:eastAsia="Arial" w:hAnsi="Arial"/>
          <w:b w:val="1"/>
          <w:bCs w:val="1"/>
          <w:sz w:val="24"/>
          <w:szCs w:val="24"/>
          <w:rtl w:val="0"/>
        </w:rPr>
        <w:t xml:space="preserve">60 minutos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7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Estrategias de Humanización Digital</w:t>
      </w:r>
    </w:p>
    <w:p w:rsidR="00000000" w:rsidDel="00000000" w:rsidP="00000000" w:rsidRDefault="00000000" w:rsidRPr="00000000" w14:paraId="00000076">
      <w:pPr>
        <w:numPr>
          <w:ilvl w:val="0"/>
          <w:numId w:val="4"/>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Mitigación de la Ansiedad Obstétrica:</w:t>
      </w:r>
      <w:r w:rsidDel="00000000" w:rsidR="00000000" w:rsidRPr="00000000">
        <w:rPr>
          <w:rFonts w:ascii="Arial" w:cs="Arial" w:eastAsia="Arial" w:hAnsi="Arial"/>
          <w:sz w:val="24"/>
          <w:szCs w:val="24"/>
          <w:rtl w:val="0"/>
        </w:rPr>
        <w:t xml:space="preserve"> Comunicar de forma asertiva, empática y compasiva a la madre y su familia el rol netamente protector de la profilaxis farmacológica, disminuyendo el estrés psicológico del rótulo de "alto riesgo".</w:t>
      </w:r>
    </w:p>
    <w:p w:rsidR="00000000" w:rsidDel="00000000" w:rsidP="00000000" w:rsidRDefault="00000000" w:rsidRPr="00000000" w14:paraId="00000077">
      <w:pPr>
        <w:numPr>
          <w:ilvl w:val="0"/>
          <w:numId w:val="4"/>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Garantía de Privacidad Digital:</w:t>
      </w:r>
      <w:r w:rsidDel="00000000" w:rsidR="00000000" w:rsidRPr="00000000">
        <w:rPr>
          <w:rFonts w:ascii="Arial" w:cs="Arial" w:eastAsia="Arial" w:hAnsi="Arial"/>
          <w:sz w:val="24"/>
          <w:szCs w:val="24"/>
          <w:rtl w:val="0"/>
        </w:rPr>
        <w:t xml:space="preserve"> Disponer de espacios físicos preferenciales, cómodos y visualmente privados en el centro remisor al momento de realizar el enlace de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sincrónica.</w:t>
      </w:r>
    </w:p>
    <w:p w:rsidR="00000000" w:rsidDel="00000000" w:rsidP="00000000" w:rsidRDefault="00000000" w:rsidRPr="00000000" w14:paraId="00000078">
      <w:pPr>
        <w:numPr>
          <w:ilvl w:val="0"/>
          <w:numId w:val="4"/>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Acompañamiento Técnico:</w:t>
      </w:r>
      <w:r w:rsidDel="00000000" w:rsidR="00000000" w:rsidRPr="00000000">
        <w:rPr>
          <w:rFonts w:ascii="Arial" w:cs="Arial" w:eastAsia="Arial" w:hAnsi="Arial"/>
          <w:sz w:val="24"/>
          <w:szCs w:val="24"/>
          <w:rtl w:val="0"/>
        </w:rPr>
        <w:t xml:space="preserve"> Educar pacientemente a la gestante en la técnica de autoinyección subcutánea y la identificación de signos de alarma en casa, validando su autonomía y empoderamiento del cuidado.</w:t>
      </w:r>
    </w:p>
    <w:p w:rsidR="00000000" w:rsidDel="00000000" w:rsidP="00000000" w:rsidRDefault="00000000" w:rsidRPr="00000000" w14:paraId="0000007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Diálogo Intercultural</w:t>
      </w:r>
    </w:p>
    <w:p w:rsidR="00000000" w:rsidDel="00000000" w:rsidP="00000000" w:rsidRDefault="00000000" w:rsidRPr="00000000" w14:paraId="0000007D">
      <w:pPr>
        <w:numPr>
          <w:ilvl w:val="0"/>
          <w:numId w:val="5"/>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Negociación del Reposo de "La Dieta":</w:t>
      </w:r>
      <w:r w:rsidDel="00000000" w:rsidR="00000000" w:rsidRPr="00000000">
        <w:rPr>
          <w:rFonts w:ascii="Arial" w:cs="Arial" w:eastAsia="Arial" w:hAnsi="Arial"/>
          <w:sz w:val="24"/>
          <w:szCs w:val="24"/>
          <w:rtl w:val="0"/>
        </w:rPr>
        <w:t xml:space="preserve"> Respetar las costumbres tradicionales de aislamiento y reposo estricto en cama durante el puerperio ("la dieta") comunes en zonas rurales o comunidades étnicas. Negociar de manera respetuosa la necesidad clínica de realizar caminatas breves periódicas intradomiciliarias para romper la estasis venosa sin invalidar sus cosmovisiones.</w:t>
      </w:r>
    </w:p>
    <w:p w:rsidR="00000000" w:rsidDel="00000000" w:rsidP="00000000" w:rsidRDefault="00000000" w:rsidRPr="00000000" w14:paraId="0000007E">
      <w:pPr>
        <w:numPr>
          <w:ilvl w:val="0"/>
          <w:numId w:val="5"/>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Eliminación de Barreras Geográficas y Financieras:</w:t>
      </w:r>
      <w:r w:rsidDel="00000000" w:rsidR="00000000" w:rsidRPr="00000000">
        <w:rPr>
          <w:rFonts w:ascii="Arial" w:cs="Arial" w:eastAsia="Arial" w:hAnsi="Arial"/>
          <w:sz w:val="24"/>
          <w:szCs w:val="24"/>
          <w:rtl w:val="0"/>
        </w:rPr>
        <w:t xml:space="preserve"> Formular de forma mandatoria medicamentos incluidos en el Plan de Beneficios en Salud (PBS) y asegurar la entrega física completa de las jeringas prellenadas y guardianes de agujas al momento del egreso hospitalario, evitando gastos de bolsillo en poblaciones vulnerables.</w:t>
      </w:r>
    </w:p>
    <w:p w:rsidR="00000000" w:rsidDel="00000000" w:rsidP="00000000" w:rsidRDefault="00000000" w:rsidRPr="00000000" w14:paraId="0000007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Indicadores</w:t>
      </w:r>
    </w:p>
    <w:p w:rsidR="00000000" w:rsidDel="00000000" w:rsidP="00000000" w:rsidRDefault="00000000" w:rsidRPr="00000000" w14:paraId="0000008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Indicadores de Estructura</w:t>
      </w:r>
    </w:p>
    <w:p w:rsidR="00000000" w:rsidDel="00000000" w:rsidP="00000000" w:rsidRDefault="00000000" w:rsidRPr="00000000" w14:paraId="00000082">
      <w:pPr>
        <w:numPr>
          <w:ilvl w:val="0"/>
          <w:numId w:val="6"/>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Disponibilidad Tecnológica:</w:t>
      </w:r>
      <w:r w:rsidDel="00000000" w:rsidR="00000000" w:rsidRPr="00000000">
        <w:rPr>
          <w:rFonts w:ascii="Arial" w:cs="Arial" w:eastAsia="Arial" w:hAnsi="Arial"/>
          <w:sz w:val="24"/>
          <w:szCs w:val="24"/>
          <w:rtl w:val="0"/>
        </w:rPr>
        <w:t xml:space="preserve"> (Número de horas con plataformas de conectividad operativas / Total de horas del periodo) x 100. </w:t>
      </w:r>
      <w:r w:rsidDel="00000000" w:rsidR="00000000" w:rsidRPr="00000000">
        <w:rPr>
          <w:rFonts w:ascii="Arial" w:cs="Arial" w:eastAsia="Arial" w:hAnsi="Arial"/>
          <w:b w:val="1"/>
          <w:bCs w:val="1"/>
          <w:sz w:val="24"/>
          <w:szCs w:val="24"/>
          <w:rtl w:val="0"/>
        </w:rPr>
        <w:t xml:space="preserve">Meta: &gt; 98%</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Indicadores de Proceso</w:t>
      </w:r>
    </w:p>
    <w:p w:rsidR="00000000" w:rsidDel="00000000" w:rsidP="00000000" w:rsidRDefault="00000000" w:rsidRPr="00000000" w14:paraId="00000084">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Oportunidad en el Tamizaje:</w:t>
      </w:r>
      <w:r w:rsidDel="00000000" w:rsidR="00000000" w:rsidRPr="00000000">
        <w:rPr>
          <w:rFonts w:ascii="Arial" w:cs="Arial" w:eastAsia="Arial" w:hAnsi="Arial"/>
          <w:sz w:val="24"/>
          <w:szCs w:val="24"/>
          <w:rtl w:val="0"/>
        </w:rPr>
        <w:t xml:space="preserve"> (Número de pacientes tamizadas en los primeros 20 min del ingreso / Total de pacientes ingresadas) x 100. </w:t>
      </w:r>
      <w:r w:rsidDel="00000000" w:rsidR="00000000" w:rsidRPr="00000000">
        <w:rPr>
          <w:rFonts w:ascii="Arial" w:cs="Arial" w:eastAsia="Arial" w:hAnsi="Arial"/>
          <w:b w:val="1"/>
          <w:bCs w:val="1"/>
          <w:sz w:val="24"/>
          <w:szCs w:val="24"/>
          <w:rtl w:val="0"/>
        </w:rPr>
        <w:t xml:space="preserve">Meta: &gt; 95%</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5">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Tiempo Puerta-Aguja:</w:t>
      </w:r>
      <w:r w:rsidDel="00000000" w:rsidR="00000000" w:rsidRPr="00000000">
        <w:rPr>
          <w:rFonts w:ascii="Arial" w:cs="Arial" w:eastAsia="Arial" w:hAnsi="Arial"/>
          <w:sz w:val="24"/>
          <w:szCs w:val="24"/>
          <w:rtl w:val="0"/>
        </w:rPr>
        <w:t xml:space="preserve"> (Total de solicitudes con aplicación de HBPM en &lt; 60 min desde el concepto / Total de solicitudes viabilizadas) x 100. </w:t>
      </w:r>
      <w:r w:rsidDel="00000000" w:rsidR="00000000" w:rsidRPr="00000000">
        <w:rPr>
          <w:rFonts w:ascii="Arial" w:cs="Arial" w:eastAsia="Arial" w:hAnsi="Arial"/>
          <w:b w:val="1"/>
          <w:bCs w:val="1"/>
          <w:sz w:val="24"/>
          <w:szCs w:val="24"/>
          <w:rtl w:val="0"/>
        </w:rPr>
        <w:t xml:space="preserve">Meta: 100%</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6">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Cumplimiento de Ventana de Seguridad Hemostática:</w:t>
      </w:r>
      <w:r w:rsidDel="00000000" w:rsidR="00000000" w:rsidRPr="00000000">
        <w:rPr>
          <w:rFonts w:ascii="Arial" w:cs="Arial" w:eastAsia="Arial" w:hAnsi="Arial"/>
          <w:sz w:val="24"/>
          <w:szCs w:val="24"/>
          <w:rtl w:val="0"/>
        </w:rPr>
        <w:t xml:space="preserve"> (Casos con suspensión/reinicio correcto de HBPM según pauta pre y postparto / Total de partos con tromboprofilaxis) x 100. </w:t>
      </w:r>
      <w:r w:rsidDel="00000000" w:rsidR="00000000" w:rsidRPr="00000000">
        <w:rPr>
          <w:rFonts w:ascii="Arial" w:cs="Arial" w:eastAsia="Arial" w:hAnsi="Arial"/>
          <w:b w:val="1"/>
          <w:bCs w:val="1"/>
          <w:sz w:val="24"/>
          <w:szCs w:val="24"/>
          <w:rtl w:val="0"/>
        </w:rPr>
        <w:t xml:space="preserve">Meta: 100%</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Indicadores de Resultado</w:t>
      </w:r>
    </w:p>
    <w:p w:rsidR="00000000" w:rsidDel="00000000" w:rsidP="00000000" w:rsidRDefault="00000000" w:rsidRPr="00000000" w14:paraId="00000088">
      <w:pPr>
        <w:numPr>
          <w:ilvl w:val="0"/>
          <w:numId w:val="8"/>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Incidencia de Eventos Tromboembólicos Venosos:</w:t>
      </w:r>
      <w:r w:rsidDel="00000000" w:rsidR="00000000" w:rsidRPr="00000000">
        <w:rPr>
          <w:rFonts w:ascii="Arial" w:cs="Arial" w:eastAsia="Arial" w:hAnsi="Arial"/>
          <w:sz w:val="24"/>
          <w:szCs w:val="24"/>
          <w:rtl w:val="0"/>
        </w:rPr>
        <w:t xml:space="preserve"> Número de casos de TVP o TEP presentados en la cohorte bajo el programa de telesalud. </w:t>
      </w:r>
      <w:r w:rsidDel="00000000" w:rsidR="00000000" w:rsidRPr="00000000">
        <w:rPr>
          <w:rFonts w:ascii="Arial" w:cs="Arial" w:eastAsia="Arial" w:hAnsi="Arial"/>
          <w:b w:val="1"/>
          <w:bCs w:val="1"/>
          <w:sz w:val="24"/>
          <w:szCs w:val="24"/>
          <w:rtl w:val="0"/>
        </w:rPr>
        <w:t xml:space="preserve">Meta: Reducción del 20% anual</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9">
      <w:pPr>
        <w:numPr>
          <w:ilvl w:val="0"/>
          <w:numId w:val="8"/>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Tasa de Complicaciones Hemorrágicas Mayores:</w:t>
      </w:r>
      <w:r w:rsidDel="00000000" w:rsidR="00000000" w:rsidRPr="00000000">
        <w:rPr>
          <w:rFonts w:ascii="Arial" w:cs="Arial" w:eastAsia="Arial" w:hAnsi="Arial"/>
          <w:sz w:val="24"/>
          <w:szCs w:val="24"/>
          <w:rtl w:val="0"/>
        </w:rPr>
        <w:t xml:space="preserve"> (Número de pacientes con sangrado mayor iatrogénico / Total de pacientes tratadas) x 100. </w:t>
      </w:r>
      <w:r w:rsidDel="00000000" w:rsidR="00000000" w:rsidRPr="00000000">
        <w:rPr>
          <w:rFonts w:ascii="Arial" w:cs="Arial" w:eastAsia="Arial" w:hAnsi="Arial"/>
          <w:b w:val="1"/>
          <w:bCs w:val="1"/>
          <w:sz w:val="24"/>
          <w:szCs w:val="24"/>
          <w:rtl w:val="0"/>
        </w:rPr>
        <w:t xml:space="preserve">Meta: &lt; 1%</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A">
      <w:pPr>
        <w:numPr>
          <w:ilvl w:val="0"/>
          <w:numId w:val="8"/>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Capacidad Resolutiva Local:</w:t>
      </w:r>
      <w:r w:rsidDel="00000000" w:rsidR="00000000" w:rsidRPr="00000000">
        <w:rPr>
          <w:rFonts w:ascii="Arial" w:cs="Arial" w:eastAsia="Arial" w:hAnsi="Arial"/>
          <w:sz w:val="24"/>
          <w:szCs w:val="24"/>
          <w:rtl w:val="0"/>
        </w:rPr>
        <w:t xml:space="preserve"> Reducción porcentual de remisiones físicas innecesarias a tercer nivel por causa de riesgo trombótico aislado. </w:t>
      </w:r>
      <w:r w:rsidDel="00000000" w:rsidR="00000000" w:rsidRPr="00000000">
        <w:rPr>
          <w:rFonts w:ascii="Arial" w:cs="Arial" w:eastAsia="Arial" w:hAnsi="Arial"/>
          <w:b w:val="1"/>
          <w:bCs w:val="1"/>
          <w:sz w:val="24"/>
          <w:szCs w:val="24"/>
          <w:rtl w:val="0"/>
        </w:rPr>
        <w:t xml:space="preserve">Meta: Incremento del 15%</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Bibliografía</w:t>
      </w:r>
    </w:p>
    <w:p w:rsidR="00000000" w:rsidDel="00000000" w:rsidP="00000000" w:rsidRDefault="00000000" w:rsidRPr="00000000" w14:paraId="0000008D">
      <w:pPr>
        <w:numPr>
          <w:ilvl w:val="0"/>
          <w:numId w:val="9"/>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American College of Obstetricians and Gynecologists (ACOG). (2018). ACOG Practice Bulletin No. 197: Inherited Thrombophilias in Pregnancy. </w:t>
      </w:r>
      <w:r w:rsidDel="00000000" w:rsidR="00000000" w:rsidRPr="00000000">
        <w:rPr>
          <w:rFonts w:ascii="Arial" w:cs="Arial" w:eastAsia="Arial" w:hAnsi="Arial"/>
          <w:i w:val="1"/>
          <w:iCs w:val="1"/>
          <w:sz w:val="24"/>
          <w:szCs w:val="24"/>
          <w:rtl w:val="0"/>
        </w:rPr>
        <w:t xml:space="preserve">Obstetrics &amp; Gynecology</w:t>
      </w:r>
      <w:r w:rsidDel="00000000" w:rsidR="00000000" w:rsidRPr="00000000">
        <w:rPr>
          <w:rFonts w:ascii="Arial" w:cs="Arial" w:eastAsia="Arial" w:hAnsi="Arial"/>
          <w:sz w:val="24"/>
          <w:szCs w:val="24"/>
          <w:rtl w:val="0"/>
        </w:rPr>
        <w:t xml:space="preserve">, 132(1), e18-e34.</w:t>
      </w:r>
    </w:p>
    <w:p w:rsidR="00000000" w:rsidDel="00000000" w:rsidP="00000000" w:rsidRDefault="00000000" w:rsidRPr="00000000" w14:paraId="0000008E">
      <w:pPr>
        <w:numPr>
          <w:ilvl w:val="0"/>
          <w:numId w:val="9"/>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Asociación Bogotana de Obstetricia y Ginecología (ASBOG). (2017). </w:t>
      </w:r>
      <w:r w:rsidDel="00000000" w:rsidR="00000000" w:rsidRPr="00000000">
        <w:rPr>
          <w:rFonts w:ascii="Arial" w:cs="Arial" w:eastAsia="Arial" w:hAnsi="Arial"/>
          <w:i w:val="1"/>
          <w:iCs w:val="1"/>
          <w:sz w:val="24"/>
          <w:szCs w:val="24"/>
          <w:rtl w:val="0"/>
        </w:rPr>
        <w:t xml:space="preserve">Guía de práctica clínica para la prevención de eventos tromboembólicos venosos durante la gestación, el parto o el puerperio</w:t>
      </w:r>
      <w:r w:rsidDel="00000000" w:rsidR="00000000" w:rsidRPr="00000000">
        <w:rPr>
          <w:rFonts w:ascii="Arial" w:cs="Arial" w:eastAsia="Arial" w:hAnsi="Arial"/>
          <w:sz w:val="24"/>
          <w:szCs w:val="24"/>
          <w:rtl w:val="0"/>
        </w:rPr>
        <w:t xml:space="preserve">. Comité de Mortalidad Materna.</w:t>
      </w:r>
    </w:p>
    <w:p w:rsidR="00000000" w:rsidDel="00000000" w:rsidP="00000000" w:rsidRDefault="00000000" w:rsidRPr="00000000" w14:paraId="0000008F">
      <w:pPr>
        <w:numPr>
          <w:ilvl w:val="0"/>
          <w:numId w:val="9"/>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Bates, S. M., et al. (2018). American Society of Hematology 2018 guidelines for management of venous thromboembolism: Heparin-induced thrombocytopenia. </w:t>
      </w:r>
      <w:r w:rsidDel="00000000" w:rsidR="00000000" w:rsidRPr="00000000">
        <w:rPr>
          <w:rFonts w:ascii="Arial" w:cs="Arial" w:eastAsia="Arial" w:hAnsi="Arial"/>
          <w:i w:val="1"/>
          <w:iCs w:val="1"/>
          <w:sz w:val="24"/>
          <w:szCs w:val="24"/>
          <w:rtl w:val="0"/>
        </w:rPr>
        <w:t xml:space="preserve">Blood Advances</w:t>
      </w:r>
      <w:r w:rsidDel="00000000" w:rsidR="00000000" w:rsidRPr="00000000">
        <w:rPr>
          <w:rFonts w:ascii="Arial" w:cs="Arial" w:eastAsia="Arial" w:hAnsi="Arial"/>
          <w:sz w:val="24"/>
          <w:szCs w:val="24"/>
          <w:rtl w:val="0"/>
        </w:rPr>
        <w:t xml:space="preserve">, 2(22), 3313-3351.</w:t>
      </w:r>
    </w:p>
    <w:p w:rsidR="00000000" w:rsidDel="00000000" w:rsidP="00000000" w:rsidRDefault="00000000" w:rsidRPr="00000000" w14:paraId="00000090">
      <w:pPr>
        <w:numPr>
          <w:ilvl w:val="0"/>
          <w:numId w:val="9"/>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Bauersachs, R. M. (2023). Venous thromboembolism in pregnancy and the puerperium. </w:t>
      </w:r>
      <w:r w:rsidDel="00000000" w:rsidR="00000000" w:rsidRPr="00000000">
        <w:rPr>
          <w:rFonts w:ascii="Arial" w:cs="Arial" w:eastAsia="Arial" w:hAnsi="Arial"/>
          <w:i w:val="1"/>
          <w:iCs w:val="1"/>
          <w:sz w:val="24"/>
          <w:szCs w:val="24"/>
          <w:rtl w:val="0"/>
        </w:rPr>
        <w:t xml:space="preserve">Vascular Medicine</w:t>
      </w:r>
      <w:r w:rsidDel="00000000" w:rsidR="00000000" w:rsidRPr="00000000">
        <w:rPr>
          <w:rFonts w:ascii="Arial" w:cs="Arial" w:eastAsia="Arial" w:hAnsi="Arial"/>
          <w:sz w:val="24"/>
          <w:szCs w:val="24"/>
          <w:rtl w:val="0"/>
        </w:rPr>
        <w:t xml:space="preserve">, 28(1), 54-66.</w:t>
      </w:r>
    </w:p>
    <w:p w:rsidR="00000000" w:rsidDel="00000000" w:rsidP="00000000" w:rsidRDefault="00000000" w:rsidRPr="00000000" w14:paraId="00000091">
      <w:pPr>
        <w:numPr>
          <w:ilvl w:val="0"/>
          <w:numId w:val="9"/>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Ministerio de Salud y Protección Social de Colombia. (2018). </w:t>
      </w:r>
      <w:r w:rsidDel="00000000" w:rsidR="00000000" w:rsidRPr="00000000">
        <w:rPr>
          <w:rFonts w:ascii="Arial" w:cs="Arial" w:eastAsia="Arial" w:hAnsi="Arial"/>
          <w:i w:val="1"/>
          <w:iCs w:val="1"/>
          <w:sz w:val="24"/>
          <w:szCs w:val="24"/>
          <w:rtl w:val="0"/>
        </w:rPr>
        <w:t xml:space="preserve">Resolución 3280 de 2018: Rutas Integrales de Atención en Salud para la población materno perinatal</w:t>
      </w:r>
      <w:r w:rsidDel="00000000" w:rsidR="00000000" w:rsidRPr="00000000">
        <w:rPr>
          <w:rFonts w:ascii="Arial" w:cs="Arial" w:eastAsia="Arial" w:hAnsi="Arial"/>
          <w:sz w:val="24"/>
          <w:szCs w:val="24"/>
          <w:rtl w:val="0"/>
        </w:rPr>
        <w:t xml:space="preserve">. Bogotá.</w:t>
      </w:r>
    </w:p>
    <w:p w:rsidR="00000000" w:rsidDel="00000000" w:rsidP="00000000" w:rsidRDefault="00000000" w:rsidRPr="00000000" w14:paraId="00000092">
      <w:pPr>
        <w:numPr>
          <w:ilvl w:val="0"/>
          <w:numId w:val="9"/>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Ministerio de Salud y Protección Social de Colombia. (2019). </w:t>
      </w:r>
      <w:r w:rsidDel="00000000" w:rsidR="00000000" w:rsidRPr="00000000">
        <w:rPr>
          <w:rFonts w:ascii="Arial" w:cs="Arial" w:eastAsia="Arial" w:hAnsi="Arial"/>
          <w:i w:val="1"/>
          <w:iCs w:val="1"/>
          <w:sz w:val="24"/>
          <w:szCs w:val="24"/>
          <w:rtl w:val="0"/>
        </w:rPr>
        <w:t xml:space="preserve">Resolución 2654 de 2019: Disposiciones para la telesalud y parámetros de la telemedicina en Colombia</w:t>
      </w:r>
      <w:r w:rsidDel="00000000" w:rsidR="00000000" w:rsidRPr="00000000">
        <w:rPr>
          <w:rFonts w:ascii="Arial" w:cs="Arial" w:eastAsia="Arial" w:hAnsi="Arial"/>
          <w:sz w:val="24"/>
          <w:szCs w:val="24"/>
          <w:rtl w:val="0"/>
        </w:rPr>
        <w:t xml:space="preserve">. Bogotá.</w:t>
      </w:r>
    </w:p>
    <w:p w:rsidR="00000000" w:rsidDel="00000000" w:rsidP="00000000" w:rsidRDefault="00000000" w:rsidRPr="00000000" w14:paraId="00000093">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Quién realiza:</w:t>
      </w:r>
      <w:r w:rsidDel="00000000" w:rsidR="00000000" w:rsidRPr="00000000">
        <w:rPr>
          <w:rFonts w:ascii="Arial" w:cs="Arial" w:eastAsia="Arial" w:hAnsi="Arial"/>
          <w:sz w:val="24"/>
          <w:szCs w:val="24"/>
          <w:rtl w:val="0"/>
        </w:rPr>
        <w:t xml:space="preserve"> Dauris Mejía Especialista en Ginecologia. </w:t>
      </w:r>
    </w:p>
    <w:p w:rsidR="00000000" w:rsidDel="00000000" w:rsidP="00000000" w:rsidRDefault="00000000" w:rsidRPr="00000000" w14:paraId="0000009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5">
      <w:pPr>
        <w:rPr>
          <w:rFonts w:ascii="Arial" w:cs="Arial" w:eastAsia="Arial" w:hAnsi="Arial"/>
          <w:sz w:val="24"/>
          <w:szCs w:val="24"/>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bl>
    <w:tblPr>
      <w:tblStyle w:val="Table2"/>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98">
          <w:pPr>
            <w:jc w:val="center"/>
            <w:rPr>
              <w:sz w:val="28"/>
              <w:szCs w:val="28"/>
            </w:rPr>
          </w:pPr>
          <w:r w:rsidDel="00000000" w:rsidR="00000000" w:rsidRPr="00000000">
            <w:rPr>
              <w:rFonts w:ascii="Arial" w:cs="Arial" w:eastAsia="Arial" w:hAnsi="Arial"/>
              <w:b w:val="1"/>
              <w:bCs w:val="1"/>
              <w:sz w:val="28"/>
              <w:szCs w:val="28"/>
              <w:rtl w:val="0"/>
            </w:rPr>
            <w:t xml:space="preserve">PROTOCOLO PARA LA PRESTACIÓN DE SERVICIO DE TELE-EXPERTICIA PARA LA PREVENCIÓN DE EVENTOS TROMBOEMBÓLICOS VENOSOS DURANTE LA GESTACIÓN, EL PARTO O EL PUERPERIO</w:t>
          </w:r>
          <w:r w:rsidDel="00000000" w:rsidR="00000000" w:rsidRPr="00000000">
            <w:rPr>
              <w:rtl w:val="0"/>
            </w:rPr>
          </w:r>
        </w:p>
      </w:tc>
    </w:tr>
    <w:tr>
      <w:trPr>
        <w:cantSplit w:val="0"/>
        <w:trHeight w:val="278" w:hRule="atLeast"/>
        <w:tblHeader w:val="0"/>
      </w:trPr>
      <w:tc>
        <w:tcPr>
          <w:vMerge w:val="continue"/>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6262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62626"/>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color w:val="0d0d0d"/>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IWqC9vy/Q41A1EkuHl0sfO1KRw==">CgMxLjAaJAoBMBIfCh0IB0IZCgVBcmlhbBIQQXJpYWwgVW5pY29kZSBNUxokCgExEh8KHQgHQhkKBUFyaWFsEhBBcmlhbCBVbmljb2RlIE1TMg5oLjhpcXVoYTdxZDlheDgAciExYzZZemY0enV0dVNVdWp5ckVVRmFVeDZKekQ4X1Jna2k=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