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cáncer de cuello uterino representa uno de los principales problemas de salud pública en Colombia y en América Latina. Según las proyecciones del Instituto Nacional de Cancerología al año 2030, esta patología continúa siendo la segunda causa de muerte por cáncer en mujeres colombianas, con una carga desproporcionada en regiones de alta dispersión geográfica como la Amazonía y la Orinoquía, donde el acceso a especialistas en ginecología oncológica es limitado o inexistente. La inequidad en el acceso a la tamización, el triaje oportuno y el tratamiento de lesiones preneoplásicas constituye la principal barrera para el cumplimiento de las metas globales de eliminación propuestas por la Organización Mundial de la Salud (estrategia 90-70-90).</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Guía de Práctica Clínica informada en la evidencia para la tamización, detección y tratamiento de lesiones preneoplásicas del cuello uterino, publicada por el Instituto Nacional de Cancerología en 2025 con metodología GRADE, establece algoritmos actualizados que priorizan las pruebas de ácido nucleico (NAAT) del Virus del Papiloma Humano (VPH) como tamización primaria en mujeres a partir de los 30 años y en mujeres que viven con VIH a partir de los 25 años. La implementación efectiva de estos algoritmos en el primer nivel de atención requiere el soporte permanente de un especialista, recurso que no siempre está disponible de forma presencial en los territorios más vulnerables.</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teleexperticia —en sus modalidades sincrónica y asincrónica— se convierte en el instrumento articulador que permite que un médico general o profesional de enfermería en territorio pueda acceder, en tiempo real o diferido, al juicio clínico de un ginecólogo, colposcopista o ginecólogo oncólogo para interpretar resultados de tamización, validar hallazgos de inspección visual con ácido acético (VIA), definir la elegibilidad para tratamiento ablativo inmediato y coordinar remisiones oncológicas oportunas. Este protocolo estandariza ese proceso en el marco institucional, operacionalizando los algoritmos de la guía nacional dentro del modelo de tele-experticia del Hospital Universitario Nacional de Colombia (HUN).</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no sustituye las Guías de Práctica Clínica nacionales e internacionales vigentes; su propósito es complementarlas y operacionalizarlas en el contexto específico de la Telexperticia institucional.</w:t>
      </w:r>
    </w:p>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Objetivo General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las orientaciones técnicas y operativas para la prestación del servicio de teleexperticia que permitan optimizar la tamización, el triaje, el diagnóstico y el tratamiento de las lesiones preneoplásicas de cuello uterino en Colombia, asegurando una atención oportuna, equitativa y de alta calidad, informada por la evidencia de la Guía de Práctica Clínica del Instituto Nacional de Cancerología 2025.</w:t>
      </w:r>
    </w:p>
    <w:p w:rsidR="00000000" w:rsidDel="00000000" w:rsidP="00000000" w:rsidRDefault="00000000" w:rsidRPr="00000000" w14:paraId="0000000B">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 Objetivos Específicos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Fortalecer el acceso a tecnologías de alta precisión: facilitar, mediante la teleexperticia, el uso y la interpretación de pruebas NAAT del VPH como tamización primaria en mujeres a partir de los 30 años y en mujeres que viven con VIH (MVVIH) a partir de los 25 años.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Estandarizar los procesos de triaje y remisión: definir los criterios para interconsultas virtuales entre personal de salud general y especialistas —en particular en áreas rurales o dispersas— para la interpretación de resultados de citología, genotipificación parcial o hallazgos en inspección visual, reduciendo las brechas de equidad en el acceso.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Optimizar la toma de decisiones terapéuticas: brindar soporte especializado a distancia para la selección del tratamiento más adecuado (ablación térmica, LLETZ o conización) según el tipo de lesión y las características de la paciente, asegurando el cumplimiento de los algoritmos de manejo de la guía nacional.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Mejorar el seguimiento de pacientes: implementar canales de teleexperticia que aseguren la continuidad del cuidado en pacientes con resultados positivos de tamización o aquellas que requieren seguimiento post-tratamiento, minimizando la pérdida de pacientes en el sistema.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la seguridad y calidad de la atención: asegurar que las recomendaciones emitidas a través de la teleexperticia sigan los niveles de calidad de evidencia y fuerza de recomendación establecidos por el sistema GRADE adoptado en la guía nacional.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Reducir el tiempo desde la tamización positiva hasta el tratamiento efectivo a menos de 30 días calendario, en concordancia con las metas de la OMS (estrategia 90-70-90).</w:t>
      </w:r>
    </w:p>
    <w:p w:rsidR="00000000" w:rsidDel="00000000" w:rsidP="00000000" w:rsidRDefault="00000000" w:rsidRPr="00000000" w14:paraId="00000013">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 Alcance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Población objeto: el protocolo cubre la atención de mujeres de la población general entre 25 y 29 años (priorizando citología cervicouterina) y a partir de los 30 años (utilizando pruebas NAAT del VPH); mujeres que viven con VIH con inicio de tamización a partir de los 25 años mediante pruebas de ADN-VPH; y poblaciones en zonas dispersas o rurales donde el acceso a especialistas presenciales es limitado.</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Enfoques de intervención soportados: la teleexperticia se articula para dar soporte en los tres enfoques definidos por la guía 2025: (a) tamizar, triaje, diagnosticar y tratar; (b) tamizar, triaje y tratar; y (c) tamizar y tratar, este último aplicable en zonas muy remotas donde no es posible realizar triaje previo.</w:t>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tecnológico y procedimental: abarca el soporte a distancia para la interpretación de pruebas de ADN-VPH y ARNm del VPH; la lectura de citologías, resultados de genotipificación (VPH 16/18) y hallazgos de Inspección Visual con Ácido Acético (VIA o tele-VIA); y la orientación sobre la idoneidad de tratamientos ablativos (ablación térmica, crioterapia) o de escisión (LLETZ, conización con bisturí frío) y el seguimiento post-tratamiento.</w:t>
      </w:r>
    </w:p>
    <w:p w:rsidR="00000000" w:rsidDel="00000000" w:rsidP="00000000" w:rsidRDefault="00000000" w:rsidRPr="00000000" w14:paraId="000000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Exclusiones: los métodos de VIA o el tratamiento ablativo no son adecuados cuando la zona de transformación no es visible (frecuente en la posmenopausia), requiriendo remisión o manejo especializado diferente. Ante sospecha de lesión infiltrante en mujeres gestantes, el protocolo ordena la referencia inmediata a ginecología oncológica sin pasar por el flujo estándar de teleexperticia.</w:t>
      </w:r>
    </w:p>
    <w:p w:rsidR="00000000" w:rsidDel="00000000" w:rsidP="00000000" w:rsidRDefault="00000000" w:rsidRPr="00000000" w14:paraId="00000019">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 Marco Normativo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telesalud y telemedicina en Colombia: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2654 de 2019 (Ministerio de Salud y Protección Social): regula la tele salud y la telemedicina en Colombia, estableciendo las disposiciones para su práctica, parámetros operativos y responsabilidades institucionales.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3100 de 2019 (Ministerio de Salud y Protección Social): define los procedimientos y condiciones de inscripción de los Prestadores de Servicios de Salud y de habilitación de los servicios en el país.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1419 de 2010: establece los lineamientos y principios para el desarrollo de la Tele salud en Colombia.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 dicta las disposiciones generales para la protección de datos personales (Habeas Data) y el tratamiento de información sensible en salud.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Decreto 538 de 2020: adopta medidas para garantizar el acceso y la continuidad en la prestación de servicios de salud bajo modalidades de telemedicina durante emergencias sanitarias.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Guías del Ministerio de Salud y Protección Social en Tele salud: directrices técnicas complementarias para la implementación de servicios digitales en salud.</w:t>
      </w:r>
    </w:p>
    <w:p w:rsidR="00000000" w:rsidDel="00000000" w:rsidP="00000000" w:rsidRDefault="00000000" w:rsidRPr="00000000" w14:paraId="00000022">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Normatividad en oncología y tamización cervical:</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Guía de Práctica Clínica informada en la evidencia para la tamización, detección y tratamiento de lesiones pre neoplásicas del cuello uterino, versión completa 2025 (Instituto Nacional de Cancerología): documento rector de los algoritmos de manejo adoptados en este protocolo con metodología GRADE.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Decenal para el Control del Cáncer en Colombia 2022-2031 (Ministerio de Salud y Protección Social): marco estratégico nacional para la reducción de la mortalidad por cáncer de cuello uterino.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Estrategia mundial de la OMS para acelerar la eliminación del cáncer de cuello uterino como problema de salud pública (2020): metas 90-70-90 que orientan los indicadores de este protocolo.</w:t>
      </w:r>
    </w:p>
    <w:p w:rsidR="00000000" w:rsidDel="00000000" w:rsidP="00000000" w:rsidRDefault="00000000" w:rsidRPr="00000000" w14:paraId="00000026">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6. Definiciones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Telesalud: conjunto de actividades relacionadas con la salud, servicios y métodos que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Teleapoyo: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Teleexperticia: relación a distancia con método de comunicación sincrónico o asincrónico para la provisión de servicios de salud en cualquiera de sus componentes, utilizando tecnologías de información y comunicación entre dos profesionales de la salud. En este protocolo, un profesional de salud general (remisor) solicita la opinión de un especialista (ginecólogo, colposcopista o ginecólogo oncólogo) para la toma de decisiones clínicas.</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Teleexperticia sincrónica: interacción en tiempo real (ej. videollamada para revisión de una colposcopia en vivo o validación de hallazgos de VIA en el momento del procedimiento).</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Teleexperticia asincrónica: interacción diferida en el tiempo (ej. envío de imágenes de inspección visual o resultados de laboratorio para evaluación posterior del experto). Modalidad prioritaria en zonas de conectividad inestable.</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Prestador remisor: personal de salud (médico general, enfermería) que se encuentra con la paciente y solicita la teleexperticia.</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Prestador especialista: ginecólogo, colposcopista o ginecólogo oncólogo que brinda la asesoría diagnóstica o terapéutica desde un centro de mayor complejidad.</w:t>
      </w:r>
    </w:p>
    <w:p w:rsidR="00000000" w:rsidDel="00000000" w:rsidP="00000000" w:rsidRDefault="00000000" w:rsidRPr="00000000" w14:paraId="0000002F">
      <w:pPr>
        <w:jc w:val="both"/>
        <w:rPr>
          <w:rFonts w:ascii="Arial" w:cs="Arial" w:eastAsia="Arial" w:hAnsi="Arial"/>
          <w:sz w:val="24"/>
          <w:szCs w:val="24"/>
        </w:rPr>
      </w:pPr>
      <w:sdt>
        <w:sdtPr>
          <w:id w:val="-487918308"/>
          <w:tag w:val="goog_rdk_0"/>
        </w:sdtPr>
        <w:sdtContent>
          <w:r w:rsidDel="00000000" w:rsidR="00000000" w:rsidRPr="00000000">
            <w:rPr>
              <w:rFonts w:ascii="Arial Unicode MS" w:cs="Arial Unicode MS" w:eastAsia="Arial Unicode MS" w:hAnsi="Arial Unicode MS"/>
              <w:sz w:val="24"/>
              <w:szCs w:val="24"/>
              <w:rtl w:val="0"/>
            </w:rPr>
            <w:t xml:space="preserve">Prueba de Ácido Nucleico (NAAT) del VPH: prueba primaria de tamización que detecta el ADN o ARNm de los tipos de Virus del Papiloma Humano de alto riesgo. Es la prueba de elección para mujeres ≥ 30 años y MVVIH ≥ 25 años según la guía 2025.</w:t>
          </w:r>
        </w:sdtContent>
      </w:sdt>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Genotipificación parcial: identificación específica de los tipos de VPH 16 y 18 dentro de una prueba de VPH positiva, que permite clasificar el riesgo de forma inmediata y orientar la conducta de triaje.</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Triaje: prueba adicional (citología, genotipificación o inspección visual) realizada únicamente a mujeres con prueba de VPH positiva, para decidir quién requiere diagnóstico histológico o tratamiento.</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Inspección Visual con Ácido Acético (VIA / Tele-VIA): técnica de observación del cuello uterino tras la aplicación de ácido acético para identificar cambios acetoblancos. En teleexperticia, imágenes capturadas de alta resolución son enviadas al experto para su validación remota.</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Colposcopia: procedimiento diagnóstico para observar el cuello uterino con aumento. La teleexperticia permite la revisión de imágenes o videos colposcópicos para confirmar la ubicación y extensión de la lesión.</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Zona de Transformación (ZT): área del cuello uterino donde se originan casi todos los cánceres. Su visibilidad completa es el factor crítico para decidir si una paciente puede recibir tratamiento ablativo o debe ser remitida a cirugía presencial.</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Lesión Intraepitelial Escamosa de Alto Grado (LIE-AG / HSIL): alteraciones celulares con alto potencial de progresión a cáncer que requieren intervención inmediata.</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Lesión Intraepitelial Escamosa de Bajo Grado (LIE-BG / LSIL): cambios celulares asociados generalmente a infección transitoria por VPH.</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NIC 2+ (Neoplasia Intraepitelial Cervical grado 2 o superior): umbral histológico que define la necesidad de tratamiento (incluye NIC 2, NIC 3 y adenocarcinoma in situ).</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Tratamiento ablativo (ablación térmica / crioterapia): procedimientos que destruyen el tejido lesionado mediante calor o frío. Requieren que la zona de transformación sea completamente visible y que no exista sospecha de invasión.</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Tratamiento de escisión (LLETZ / conización): procedimiento quirúrgico para remover una porción del cuello uterino. Indicado cuando la lesión entra al canal endocervical o cuando se sospecha enfermedad invasora.</w:t>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Estrategia "Ver y Tratar" (Screen-and-Treat): proceso en el que, tras una prueba de tamización positiva, se procede al tratamiento sin necesidad de triaje ni confirmación por biopsia, con validación previa del especialista remoto sobre la elegibilidad de la paciente.</w:t>
      </w:r>
    </w:p>
    <w:p w:rsidR="00000000" w:rsidDel="00000000" w:rsidP="00000000" w:rsidRDefault="00000000" w:rsidRPr="00000000" w14:paraId="0000003B">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 Flujo Operativo y Clínico en Telesalud</w:t>
      </w:r>
    </w:p>
    <w:p w:rsidR="00000000" w:rsidDel="00000000" w:rsidP="00000000" w:rsidRDefault="00000000" w:rsidRPr="00000000" w14:paraId="0000003C">
      <w:pPr>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95"/>
        <w:gridCol w:w="1598"/>
        <w:gridCol w:w="3490"/>
        <w:tblGridChange w:id="0">
          <w:tblGrid>
            <w:gridCol w:w="1845"/>
            <w:gridCol w:w="1895"/>
            <w:gridCol w:w="1598"/>
            <w:gridCol w:w="3490"/>
          </w:tblGrid>
        </w:tblGridChange>
      </w:tblGrid>
      <w:tr>
        <w:trPr>
          <w:cantSplit w:val="0"/>
          <w:tblHeader w:val="0"/>
        </w:trPr>
        <w:tc>
          <w:tcPr/>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t xml:space="preserve">1. Identificación y medidas inmediatas</w:t>
            </w:r>
          </w:p>
        </w:tc>
        <w:tc>
          <w:tcPr/>
          <w:p w:rsidR="00000000" w:rsidDel="00000000" w:rsidP="00000000" w:rsidRDefault="00000000" w:rsidRPr="00000000" w14:paraId="00000042">
            <w:pPr>
              <w:rPr>
                <w:rFonts w:ascii="Arial" w:cs="Arial" w:eastAsia="Arial" w:hAnsi="Arial"/>
                <w:sz w:val="24"/>
                <w:szCs w:val="24"/>
              </w:rPr>
            </w:pPr>
            <w:sdt>
              <w:sdtPr>
                <w:id w:val="-1512160573"/>
                <w:tag w:val="goog_rdk_1"/>
              </w:sdtPr>
              <w:sdtContent>
                <w:r w:rsidDel="00000000" w:rsidR="00000000" w:rsidRPr="00000000">
                  <w:rPr>
                    <w:rFonts w:ascii="Arial Unicode MS" w:cs="Arial Unicode MS" w:eastAsia="Arial Unicode MS" w:hAnsi="Arial Unicode MS"/>
                    <w:sz w:val="24"/>
                    <w:szCs w:val="24"/>
                    <w:rtl w:val="0"/>
                  </w:rPr>
                  <w:t xml:space="preserve">Captar y tamizar a la paciente según su grupo de riesgo: citología en mujeres 25-29 años; prueba NAAT del VPH en mujeres ≥ 30 años y en MVVIH ≥ 25 años. Ante resultado positivo, identificar el enfoque de manejo aplicable (tamizar-triaje-diagnosticar-tratar; tamizar-triaje-tratar; o tamizar-tratar) e iniciar la recolección de información clínica completa e imágenes de VIA o colposcopia si corresponde.</w:t>
                </w:r>
              </w:sdtContent>
            </w:sdt>
          </w:p>
        </w:tc>
        <w:tc>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presencial (médico general o enfermería del nivel primario)</w:t>
            </w:r>
          </w:p>
        </w:tc>
        <w:tc>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En zonas sin conectividad, capturar imágenes y datos bajo protocolos de encriptación para envío diferido en modo asincrónico en cuanto se recupere la señal. No retrasar la captación de la paciente por falta de conectividad.</w:t>
            </w:r>
          </w:p>
        </w:tc>
      </w:tr>
      <w:tr>
        <w:trPr>
          <w:cantSplit w:val="0"/>
          <w:tblHeader w:val="0"/>
        </w:trPr>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2. Verificación y consentimiento</w:t>
            </w:r>
          </w:p>
        </w:tc>
        <w:tc>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Validar cumplimiento de criterios de inclusión para teleexperticia. Obtener consentimiento informado específico para atención mediante telemedicina y para el manejo de datos e imágenes. Verificar que la zona de transformación sea visible si se contempla tratamiento ablativo; de lo contrario, preparar remisión presencial.</w:t>
            </w:r>
          </w:p>
        </w:tc>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 Profesional solicitante</w:t>
            </w:r>
          </w:p>
        </w:tc>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Organizar la información bajo el modelo SBAR antes del contacto con el referente: resultado de VPH/citología, genotipificación si disponible, imágenes de VIA o colposcopia de alta resolución, antecedentes relevantes (VIH, embarazo, tratamientos previos).</w:t>
            </w:r>
          </w:p>
        </w:tc>
      </w:tr>
      <w:tr>
        <w:trPr>
          <w:cantSplit w:val="0"/>
          <w:tblHeader w:val="0"/>
        </w:trPr>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3. Diligenciamiento y envío de datos</w:t>
            </w:r>
          </w:p>
        </w:tc>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Cargar en la plataforma de telemedicina la historia clínica completa, resultados de laboratorio (genotipificación) y, si aplica, imágenes de VIA o fotografías del cuello uterino de alta calidad. Clasificar la solicitud según nivel de prioridad (rojo, amarillo o verde) y notificar al centro referente.</w:t>
            </w:r>
          </w:p>
        </w:tc>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Canales corporativos: líneas 3228234549 y 3228234532 — correo telemedicina.digital@hun.edu.co. El tiempo de respuesta del experto comienza a contar únicamente cuando la información mínima requerida está cargada de forma completa.</w:t>
            </w:r>
          </w:p>
        </w:tc>
      </w:tr>
      <w:tr>
        <w:trPr>
          <w:cantSplit w:val="0"/>
          <w:tblHeader w:val="0"/>
        </w:trPr>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4. Recepción y validación</w:t>
            </w:r>
          </w:p>
        </w:tc>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Recibir la solicitud, verificar la calidad y completitud de la información enviada. Clasificar por prioridad y asignar al especialista correspondiente. Si las imágenes no son diagnósticas, devolver la solicitud al remisor con instrucciones precisas de recaptura (meta: &lt; 5% de rechazos por mala calidad).</w:t>
            </w:r>
          </w:p>
        </w:tc>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Profesional experto</w:t>
            </w:r>
          </w:p>
        </w:tc>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Cargue y apertura de caso en Hosvital. Tiempo máximo de primera respuesta: &lt; 24 h (Prioridad Alta), &lt; 3 días hábiles (Prioridad Media), &lt; 8 días hábiles (Prioridad Baja). Alerta automática al coordinador si se supera el límite.</w:t>
            </w:r>
          </w:p>
        </w:tc>
      </w:tr>
      <w:tr>
        <w:trPr>
          <w:cantSplit w:val="0"/>
          <w:tblHeader w:val="0"/>
        </w:trPr>
        <w:tc>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5. Análisis y concepto clínico</w:t>
            </w:r>
          </w:p>
        </w:tc>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El especialista revisa la información clínica y paraclínica, contrasta con los algoritmos de la Guía 2025 y emite el concepto: conducta diagnóstica (toma de biopsia, colposcopia presencial) o terapéutica (autorización de tratamiento ablativo inmediato bajo estrategia "Ver y Tratar", o LLETZ). Validar la elegibilidad para tratamiento en sitio: zona de transformación completamente visible, ausencia de sospecha de invasión.</w:t>
            </w:r>
          </w:p>
        </w:tc>
        <w:tc>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(ginecólogo, colposcopista o ginecólogo oncólogo)</w:t>
            </w:r>
          </w:p>
        </w:tc>
        <w:tc>
          <w:tcPr/>
          <w:p w:rsidR="00000000" w:rsidDel="00000000" w:rsidP="00000000" w:rsidRDefault="00000000" w:rsidRPr="00000000" w14:paraId="00000054">
            <w:pPr>
              <w:rPr>
                <w:rFonts w:ascii="Arial" w:cs="Arial" w:eastAsia="Arial" w:hAnsi="Arial"/>
                <w:sz w:val="24"/>
                <w:szCs w:val="24"/>
              </w:rPr>
            </w:pPr>
            <w:sdt>
              <w:sdtPr>
                <w:id w:val="1342731085"/>
                <w:tag w:val="goog_rdk_2"/>
              </w:sdtPr>
              <w:sdtContent>
                <w:r w:rsidDel="00000000" w:rsidR="00000000" w:rsidRPr="00000000">
                  <w:rPr>
                    <w:rFonts w:ascii="Arial Unicode MS" w:cs="Arial Unicode MS" w:eastAsia="Arial Unicode MS" w:hAnsi="Arial Unicode MS"/>
                    <w:sz w:val="24"/>
                    <w:szCs w:val="24"/>
                    <w:rtl w:val="0"/>
                  </w:rPr>
                  <w:t xml:space="preserve">Historia clínica Hosvital. El concepto debe incluir la fuerza de recomendación según GRADE. Si se identifica sospecha de cáncer invasor: cerrar el flujo de teleexperticia y activar la Ruta de Cáncer con cita presencial en ginecología oncológica en ≤ 5 días hábiles.</w:t>
                </w:r>
              </w:sdtContent>
            </w:sdt>
          </w:p>
        </w:tc>
      </w:tr>
      <w:tr>
        <w:trPr>
          <w:cantSplit w:val="0"/>
          <w:tblHeader w:val="0"/>
        </w:trPr>
        <w:tc>
          <w:tcPr/>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6. Envío de ordenamiento y cierre</w:t>
            </w:r>
          </w:p>
        </w:tc>
        <w:tc>
          <w:tcPr/>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Consolidar por escrito el concepto clínico y la conducta final: tratamiento en sitio, remisión presencial o plan de seguimiento (control a los 12 o 24 meses con prueba NAAT del VPH según el enfoque). Definir la periodicidad de seguimiento post-teleexperticia. Registrar obligatoriamente en ambos sistemas.</w:t>
            </w:r>
          </w:p>
        </w:tc>
        <w:tc>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y Centro Remisor</w:t>
            </w:r>
          </w:p>
        </w:tc>
        <w:tc>
          <w:tcPr/>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correo corporativo e historia clínica compartida. La paciente debe recibir tratamiento o diagnóstico definitivo en &lt; 30 días calendario desde la toma de la prueba de tamización. El sistema genera alerta semanal de "pacientes pendientes" para búsqueda activa dentro de las 48 h siguientes a la inasistencia.</w:t>
            </w:r>
          </w:p>
        </w:tc>
      </w:tr>
    </w:tbl>
    <w:p w:rsidR="00000000" w:rsidDel="00000000" w:rsidP="00000000" w:rsidRDefault="00000000" w:rsidRPr="00000000" w14:paraId="00000059">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 Criterios de Inclusión / Exclusión en Telesalud</w:t>
      </w:r>
    </w:p>
    <w:p w:rsidR="00000000" w:rsidDel="00000000" w:rsidP="00000000" w:rsidRDefault="00000000" w:rsidRPr="00000000" w14:paraId="0000005A">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Criterios de Inclusión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Mujeres de la población general entre 25 y 29 años con citología con resultado de LIE-BG (LSIL), LIE-AG (HSIL), ASC-H o células glandulares atípicas que requieran definición de conducta de Triage.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435714883"/>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Mujeres ≥ 30 años o MVVIH ≥ 25 años con resultado positivo de prueba NAAT del VPH que requieran soporte para Triage, decisión de tratamiento o seguimiento.</w:t>
          </w:r>
        </w:sdtContent>
      </w:sdt>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VPH 16/18 positivo o citología con HSIL/ASC-H donde se deba definir la aplicación de la estrategia "Ver y Tratar".</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en seguimiento post-tratamiento (a los 12 o 24 meses) con resultado positivo de la prueba de control que requieran redefinición de conducta.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en zonas rurales o dispersas donde el acceso presencial al especialista implique una demora mayor a 30 días calendario.</w:t>
      </w:r>
    </w:p>
    <w:p w:rsidR="00000000" w:rsidDel="00000000" w:rsidP="00000000" w:rsidRDefault="00000000" w:rsidRPr="00000000" w14:paraId="00000060">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Criterios de Exclusión (Remisión Urgente Presencial)</w:t>
      </w:r>
    </w:p>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teleexperticia llega a su límite técnico en las siguientes situaciones, en las cuales se debe activar el flujo de atención presencial sin demora: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96255284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Sospecha clínica de cáncer invasor: cuello uterino con masa exofítica, sangrado al contacto o imágenes sugestivas de invasión identificadas por el especialista. Acción: activar Ruta de Cáncer con cita presencial en ginecología oncológica en ≤ 5 días hábiles.</w:t>
          </w:r>
        </w:sdtContent>
      </w:sdt>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Zona de Transformación tipo 3 no visible: el tratamiento ablativo está contraindicado; remisión presencial inmediata para conización o manejo especializado.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Mujeres gestantes con sospecha de lesión infiltrante: remisión directa a ginecología oncológica.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Caída total de la plataforma de telemedicina por más de 72 horas: activar remisión tradicional para que la paciente sea vista de forma presencial, evitando retrasos en el diagnóstico.</w:t>
      </w:r>
    </w:p>
    <w:p w:rsidR="00000000" w:rsidDel="00000000" w:rsidP="00000000" w:rsidRDefault="00000000" w:rsidRPr="00000000" w14:paraId="00000066">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 Roles y Responsabilidades en Telesalud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both"/>
        <w:rPr>
          <w:rFonts w:ascii="Arial" w:cs="Arial" w:eastAsia="Arial" w:hAnsi="Arial"/>
          <w:sz w:val="24"/>
          <w:szCs w:val="24"/>
        </w:rPr>
      </w:pPr>
      <w:sdt>
        <w:sdtPr>
          <w:id w:val="543398493"/>
          <w:tag w:val="goog_rdk_5"/>
        </w:sdtPr>
        <w:sdtContent>
          <w:r w:rsidDel="00000000" w:rsidR="00000000" w:rsidRPr="00000000">
            <w:rPr>
              <w:rFonts w:ascii="Arial Unicode MS" w:cs="Arial Unicode MS" w:eastAsia="Arial Unicode MS" w:hAnsi="Arial Unicode MS"/>
              <w:sz w:val="24"/>
              <w:szCs w:val="24"/>
              <w:rtl w:val="0"/>
            </w:rPr>
            <w:t xml:space="preserve">Prestador remisor (personal de salud en territorio — Centro Remisor): médico general o enfermería en centros de atención primaria (IPS de primer nivel). Responsable de la captación y tamización primaria según la edad; la activación del protocolo ante resultado positivo; la recolección y carga de información clínica e imágenes de alta calidad en la plataforma; la ejecución del tratamiento o la remisión recomendada por el especialista; y el seguimiento activo de la paciente para evitar la pérdida en el flujo (búsqueda activa en ≤ 48 h ante inasistencia).</w:t>
          </w:r>
        </w:sdtContent>
      </w:sdt>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Prestador especialista (Centro Referente — Ginecólogo / Colposcopista / Ginecólogo Oncólogo): experto en centros de mayor complejidad. Responsable de revisar la información clínica y paraclínica contrastándola con los algoritmos de la Guía 2025; emitir el concepto diagnóstico o terapéutico con fuerza de recomendación GRADE; validar la elegibilidad para tratamiento ablativo en sitio o definir la necesidad de manejo presencial; y registrar la respuesta en Hosvital dentro de los tiempos institucionales. Debe dedicar bloques de tiempo específicos en su agenda para responder solicitudes asincrónicas, evitando acumulación con la consulta presencial.</w:t>
      </w:r>
    </w:p>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Entidad administradora (EPS / Entidades Territoriales): responsable de garantizar la conectividad adecuada en puntos remotos; verificar la habilitación normativa de los prestadores; suministrar los kits de tamización (pruebas de ADN-VPH) y los equipos de tratamiento (unidades de ablación térmica o crioterapia); y monitorear los indicadores de impacto alineados con la meta OMS 90-70-90. Debe contar con convenios con al menos dos centros de teleexperticia para redirigir solicitudes ante saturación o falla técnica del prestador principal.</w:t>
      </w:r>
    </w:p>
    <w:p w:rsidR="00000000" w:rsidDel="00000000" w:rsidP="00000000" w:rsidRDefault="00000000" w:rsidRPr="00000000" w14:paraId="000000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Responsabilidades de la paciente: comprender y firmar el consentimiento informado específico para atención mediante telemedicina; asistir a las citas de seguimiento y cumplir las recomendaciones de la interconsulta virtual; y reportar al prestador remisor cualquier complicación post-tratamiento (sangrado excesivo, dolor abdominal intenso).</w:t>
      </w:r>
    </w:p>
    <w:p w:rsidR="00000000" w:rsidDel="00000000" w:rsidP="00000000" w:rsidRDefault="00000000" w:rsidRPr="00000000" w14:paraId="0000006C">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 Tiempos de Respuesta Sugeridos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priorización de solicitudes de teleexperticia:</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Prioridad Alta (Rojo): sospecha clínica de cáncer invasor (cuello uterino con masa exofítica, sangrado al contacto) o mujeres gestantes con lesiones de alto grado. Tiempo máximo de respuesta del especialista: &lt; 24 horas hábiles. Acción post-Telexperticia: remisión inmediata a ginecología oncológica.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Prioridad Media (Amarillo): VPH 16/18 positivo o citología con LIE-AG (HSIL) / ASC-H donde se deba definir la estrategia "Ver y Tratar". Tiempo máximo de respuesta: &lt; 3 días hábiles. Acción: programación de tratamiento ablativo o toma de biopsia.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Prioridad Baja (Verde): seguimiento de pacientes con tratamiento previo, o VPH positivo con Triage negativo que requieren conducta de seguimiento a 12-24 meses. Tiempo máximo de respuesta: &lt; 8 días hábiles. Acción: programación de control o entrega de plan de seguimiento.</w:t>
      </w:r>
    </w:p>
    <w:p w:rsidR="00000000" w:rsidDel="00000000" w:rsidP="00000000" w:rsidRDefault="00000000" w:rsidRPr="00000000" w14:paraId="00000072">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Metas del flujo operativo:</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Desde el resultado de tamización positiva hasta la solicitud de Telexperticia: máximo 2 días hábiles.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Desde la respuesta del experto hasta la ejecución del tratamiento (si es en sitio): máximo 5 días hábiles.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 global: la paciente debe recibir tratamiento o diagnóstico definitivo en menos de 30 días calendario desde la toma de la prueba de tamización inicial.</w:t>
      </w:r>
    </w:p>
    <w:p w:rsidR="00000000" w:rsidDel="00000000" w:rsidP="00000000" w:rsidRDefault="00000000" w:rsidRPr="00000000" w14:paraId="000000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Protocolo ante incumplimiento de tiempos: el sistema de telemedicina debe generar una notificación automática al coordinador médico del prestador especialista cuando se supere el límite. El prestador remisor podrá escalar la solicitud a un segundo centro de expertos o proceder con la remisión presencial si el retraso compromete la oportunidad del tratamiento, especialmente en casos de Prioridad Alta.</w:t>
      </w:r>
    </w:p>
    <w:p w:rsidR="00000000" w:rsidDel="00000000" w:rsidP="00000000" w:rsidRDefault="00000000" w:rsidRPr="00000000" w14:paraId="00000077">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 Estrategias de Humanización Digital y Diálogo Intercultural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Comunicación centrada en la paciente: el profesional remisor debe explicar de forma clara y en lenguaje accesible que un especialista revisará su caso de manera remota y que ello no implica una atención de menor calidad. Se debe comunicar el tiempo esperado de respuesta y los pasos del proceso para reducir la ansiedad asociada a la espera del resultado.</w:t>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Manejo del impacto emocional del diagnóstico: un resultado positivo de VPH o una citología alterada genera alta carga emocional. El remisor debe acompañar a la paciente en la comprensión del resultado, enfatizando que la mayoría de las infecciones por VPH son transitorias y que las lesiones preneoplásicas tienen tratamiento eficaz cuando se detectan de forma oportuna. Evitar la estigmatización asociada a la infección de transmisión sexual.</w:t>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Abordaje intercultural en tamización: en comunidades indígenas, afrocolombianas o campesinas, la toma de imágenes del cuello uterino y los procedimientos de triaje pueden ser percibidos como invasivos o culturalmente inaceptables. El profesional remisor debe dialogar con respeto sobre la importancia de la tamización, involucrar a los agentes comunitarios de salud como mediadores culturales cuando sea posible y adaptar el lenguaje a los referentes culturales de la comunidad, sin comprometer la pertinencia clínica de los procedimientos.</w:t>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Consentimiento informado culturalmente adecuado: en comunidades con barreras de literacidad, el consentimiento debe explicarse verbalmente con apoyo visual y, cuando sea necesario, obtenerse con la participación de un intérprete o líder comunitario de confianza.</w:t>
      </w:r>
    </w:p>
    <w:p w:rsidR="00000000" w:rsidDel="00000000" w:rsidP="00000000" w:rsidRDefault="00000000" w:rsidRPr="00000000" w14:paraId="0000007D">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 Indicadores de Calidad y Seguimiento</w:t>
      </w:r>
    </w:p>
    <w:p w:rsidR="00000000" w:rsidDel="00000000" w:rsidP="00000000" w:rsidRDefault="00000000" w:rsidRPr="00000000" w14:paraId="0000007E">
      <w:pPr>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7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8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82">
            <w:pPr>
              <w:rPr>
                <w:rFonts w:ascii="Arial" w:cs="Arial" w:eastAsia="Arial" w:hAnsi="Arial"/>
                <w:sz w:val="24"/>
                <w:szCs w:val="24"/>
              </w:rPr>
            </w:pPr>
            <w:r w:rsidDel="00000000" w:rsidR="00000000" w:rsidRPr="00000000">
              <w:rPr>
                <w:rFonts w:ascii="Arial" w:cs="Arial" w:eastAsia="Arial" w:hAnsi="Arial"/>
                <w:sz w:val="24"/>
                <w:szCs w:val="24"/>
                <w:rtl w:val="0"/>
              </w:rPr>
              <w:t xml:space="preserve">Proporción de tratamiento oportuno</w:t>
            </w:r>
          </w:p>
        </w:tc>
        <w:tc>
          <w:tcPr/>
          <w:p w:rsidR="00000000" w:rsidDel="00000000" w:rsidP="00000000" w:rsidRDefault="00000000" w:rsidRPr="00000000" w14:paraId="00000083">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tamización positiva que reciben tratamiento o diagnóstico definitivo en &lt; 30 días calendario desde la toma de la prueba</w:t>
            </w:r>
          </w:p>
        </w:tc>
        <w:tc>
          <w:tcPr/>
          <w:p w:rsidR="00000000" w:rsidDel="00000000" w:rsidP="00000000" w:rsidRDefault="00000000" w:rsidRPr="00000000" w14:paraId="00000084">
            <w:pPr>
              <w:rPr>
                <w:rFonts w:ascii="Arial" w:cs="Arial" w:eastAsia="Arial" w:hAnsi="Arial"/>
                <w:sz w:val="24"/>
                <w:szCs w:val="24"/>
              </w:rPr>
            </w:pPr>
            <w:sdt>
              <w:sdtPr>
                <w:id w:val="-1482737987"/>
                <w:tag w:val="goog_rdk_6"/>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85">
            <w:pPr>
              <w:rPr>
                <w:rFonts w:ascii="Arial" w:cs="Arial" w:eastAsia="Arial" w:hAnsi="Arial"/>
                <w:sz w:val="24"/>
                <w:szCs w:val="24"/>
              </w:rPr>
            </w:pPr>
            <w:r w:rsidDel="00000000" w:rsidR="00000000" w:rsidRPr="00000000">
              <w:rPr>
                <w:rFonts w:ascii="Arial" w:cs="Arial" w:eastAsia="Arial" w:hAnsi="Arial"/>
                <w:sz w:val="24"/>
                <w:szCs w:val="24"/>
                <w:rtl w:val="0"/>
              </w:rPr>
              <w:t xml:space="preserve">Tiempo promedio de respuesta de la teleexperticia</w:t>
            </w:r>
          </w:p>
        </w:tc>
        <w:tc>
          <w:tcPr/>
          <w:p w:rsidR="00000000" w:rsidDel="00000000" w:rsidP="00000000" w:rsidRDefault="00000000" w:rsidRPr="00000000" w14:paraId="00000086">
            <w:pPr>
              <w:rPr>
                <w:rFonts w:ascii="Arial" w:cs="Arial" w:eastAsia="Arial" w:hAnsi="Arial"/>
                <w:sz w:val="24"/>
                <w:szCs w:val="24"/>
              </w:rPr>
            </w:pPr>
            <w:r w:rsidDel="00000000" w:rsidR="00000000" w:rsidRPr="00000000">
              <w:rPr>
                <w:rFonts w:ascii="Arial" w:cs="Arial" w:eastAsia="Arial" w:hAnsi="Arial"/>
                <w:sz w:val="24"/>
                <w:szCs w:val="24"/>
                <w:rtl w:val="0"/>
              </w:rPr>
              <w:t xml:space="preserve">% de solicitudes respondidas dentro del tiempo límite según su categoría de prioridad (&lt; 24 h para rojo; &lt; 3 días para amarillo; &lt; 8 días para verde)</w:t>
            </w:r>
          </w:p>
        </w:tc>
        <w:tc>
          <w:tcPr/>
          <w:p w:rsidR="00000000" w:rsidDel="00000000" w:rsidP="00000000" w:rsidRDefault="00000000" w:rsidRPr="00000000" w14:paraId="00000087">
            <w:pPr>
              <w:rPr>
                <w:rFonts w:ascii="Arial" w:cs="Arial" w:eastAsia="Arial" w:hAnsi="Arial"/>
                <w:sz w:val="24"/>
                <w:szCs w:val="24"/>
              </w:rPr>
            </w:pPr>
            <w:sdt>
              <w:sdtPr>
                <w:id w:val="-1350312830"/>
                <w:tag w:val="goog_rdk_7"/>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88">
            <w:pPr>
              <w:rPr>
                <w:rFonts w:ascii="Arial" w:cs="Arial" w:eastAsia="Arial" w:hAnsi="Arial"/>
                <w:sz w:val="24"/>
                <w:szCs w:val="24"/>
              </w:rPr>
            </w:pPr>
            <w:r w:rsidDel="00000000" w:rsidR="00000000" w:rsidRPr="00000000">
              <w:rPr>
                <w:rFonts w:ascii="Arial" w:cs="Arial" w:eastAsia="Arial" w:hAnsi="Arial"/>
                <w:sz w:val="24"/>
                <w:szCs w:val="24"/>
                <w:rtl w:val="0"/>
              </w:rPr>
              <w:t xml:space="preserve">Calidad de la información enviada</w:t>
            </w:r>
          </w:p>
        </w:tc>
        <w:tc>
          <w:tcPr/>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sz w:val="24"/>
                <w:szCs w:val="24"/>
                <w:rtl w:val="0"/>
              </w:rPr>
              <w:t xml:space="preserve">% de solicitudes devueltas por imágenes no diagnósticas o información incompleta sobre el total de solicitudes enviadas</w:t>
            </w:r>
          </w:p>
        </w:tc>
        <w:tc>
          <w:tcPr/>
          <w:p w:rsidR="00000000" w:rsidDel="00000000" w:rsidP="00000000" w:rsidRDefault="00000000" w:rsidRPr="00000000" w14:paraId="0000008A">
            <w:pPr>
              <w:rPr>
                <w:rFonts w:ascii="Arial" w:cs="Arial" w:eastAsia="Arial" w:hAnsi="Arial"/>
                <w:sz w:val="24"/>
                <w:szCs w:val="24"/>
              </w:rPr>
            </w:pPr>
            <w:sdt>
              <w:sdtPr>
                <w:id w:val="182139733"/>
                <w:tag w:val="goog_rdk_8"/>
              </w:sdtPr>
              <w:sdtContent>
                <w:r w:rsidDel="00000000" w:rsidR="00000000" w:rsidRPr="00000000">
                  <w:rPr>
                    <w:rFonts w:ascii="Arial Unicode MS" w:cs="Arial Unicode MS" w:eastAsia="Arial Unicode MS" w:hAnsi="Arial Unicode MS"/>
                    <w:sz w:val="24"/>
                    <w:szCs w:val="24"/>
                    <w:rtl w:val="0"/>
                  </w:rPr>
                  <w:t xml:space="preserve">≤ 5 %</w:t>
                </w:r>
              </w:sdtContent>
            </w:sdt>
          </w:p>
        </w:tc>
      </w:tr>
      <w:tr>
        <w:trPr>
          <w:cantSplit w:val="0"/>
          <w:tblHeader w:val="0"/>
        </w:trPr>
        <w:tc>
          <w:tcPr/>
          <w:p w:rsidR="00000000" w:rsidDel="00000000" w:rsidP="00000000" w:rsidRDefault="00000000" w:rsidRPr="00000000" w14:paraId="0000008B">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concordancia diagnóstica (tele-VIA vs. histología)</w:t>
            </w:r>
          </w:p>
        </w:tc>
        <w:tc>
          <w:tcPr/>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sz w:val="24"/>
                <w:szCs w:val="24"/>
                <w:rtl w:val="0"/>
              </w:rPr>
              <w:t xml:space="preserve">% de casos donde el hallazgo visual por teleexperticia coincidió con el resultado de la biopsia sobre el total de casos con biopsia disponible</w:t>
            </w:r>
          </w:p>
        </w:tc>
        <w:tc>
          <w:tcPr/>
          <w:p w:rsidR="00000000" w:rsidDel="00000000" w:rsidP="00000000" w:rsidRDefault="00000000" w:rsidRPr="00000000" w14:paraId="0000008D">
            <w:pPr>
              <w:rPr>
                <w:rFonts w:ascii="Arial" w:cs="Arial" w:eastAsia="Arial" w:hAnsi="Arial"/>
                <w:sz w:val="24"/>
                <w:szCs w:val="24"/>
              </w:rPr>
            </w:pPr>
            <w:sdt>
              <w:sdtPr>
                <w:id w:val="-1526928080"/>
                <w:tag w:val="goog_rdk_9"/>
              </w:sdtPr>
              <w:sdtContent>
                <w:r w:rsidDel="00000000" w:rsidR="00000000" w:rsidRPr="00000000">
                  <w:rPr>
                    <w:rFonts w:ascii="Arial Unicode MS" w:cs="Arial Unicode MS" w:eastAsia="Arial Unicode MS" w:hAnsi="Arial Unicode MS"/>
                    <w:sz w:val="24"/>
                    <w:szCs w:val="24"/>
                    <w:rtl w:val="0"/>
                  </w:rPr>
                  <w:t xml:space="preserve">≥ 80 %</w:t>
                </w:r>
              </w:sdtContent>
            </w:sdt>
          </w:p>
        </w:tc>
      </w:tr>
      <w:tr>
        <w:trPr>
          <w:cantSplit w:val="0"/>
          <w:tblHeader w:val="0"/>
        </w:trPr>
        <w:tc>
          <w:tcPr/>
          <w:p w:rsidR="00000000" w:rsidDel="00000000" w:rsidP="00000000" w:rsidRDefault="00000000" w:rsidRPr="00000000" w14:paraId="0000008E">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curación post-tratamiento ablativo</w:t>
            </w:r>
          </w:p>
        </w:tc>
        <w:tc>
          <w:tcPr/>
          <w:p w:rsidR="00000000" w:rsidDel="00000000" w:rsidP="00000000" w:rsidRDefault="00000000" w:rsidRPr="00000000" w14:paraId="0000008F">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prueba NAAT del VPH negativa a los 18 meses post-tratamiento sobre el total de pacientes tratadas mediante teleexperticia</w:t>
            </w:r>
          </w:p>
        </w:tc>
        <w:tc>
          <w:tcPr/>
          <w:p w:rsidR="00000000" w:rsidDel="00000000" w:rsidP="00000000" w:rsidRDefault="00000000" w:rsidRPr="00000000" w14:paraId="00000090">
            <w:pPr>
              <w:rPr>
                <w:rFonts w:ascii="Arial" w:cs="Arial" w:eastAsia="Arial" w:hAnsi="Arial"/>
                <w:sz w:val="24"/>
                <w:szCs w:val="24"/>
              </w:rPr>
            </w:pPr>
            <w:sdt>
              <w:sdtPr>
                <w:id w:val="-961825164"/>
                <w:tag w:val="goog_rdk_10"/>
              </w:sdtPr>
              <w:sdtContent>
                <w:r w:rsidDel="00000000" w:rsidR="00000000" w:rsidRPr="00000000">
                  <w:rPr>
                    <w:rFonts w:ascii="Arial Unicode MS" w:cs="Arial Unicode MS" w:eastAsia="Arial Unicode MS" w:hAnsi="Arial Unicode MS"/>
                    <w:sz w:val="24"/>
                    <w:szCs w:val="24"/>
                    <w:rtl w:val="0"/>
                  </w:rPr>
                  <w:t xml:space="preserve">≥ 85 %</w:t>
                </w:r>
              </w:sdtContent>
            </w:sdt>
          </w:p>
        </w:tc>
      </w:tr>
      <w:tr>
        <w:trPr>
          <w:cantSplit w:val="0"/>
          <w:tblHeader w:val="0"/>
        </w:trPr>
        <w:tc>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Proporción de pérdida de seguimiento</w:t>
            </w:r>
          </w:p>
        </w:tc>
        <w:tc>
          <w:tcPr/>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tamización positiva que no completaron el flujo de teleexperticia o tratamiento sobre el total de pacientes con tamización positiva</w:t>
            </w:r>
          </w:p>
        </w:tc>
        <w:tc>
          <w:tcPr/>
          <w:p w:rsidR="00000000" w:rsidDel="00000000" w:rsidP="00000000" w:rsidRDefault="00000000" w:rsidRPr="00000000" w14:paraId="00000093">
            <w:pPr>
              <w:rPr>
                <w:rFonts w:ascii="Arial" w:cs="Arial" w:eastAsia="Arial" w:hAnsi="Arial"/>
                <w:sz w:val="24"/>
                <w:szCs w:val="24"/>
              </w:rPr>
            </w:pPr>
            <w:sdt>
              <w:sdtPr>
                <w:id w:val="498333631"/>
                <w:tag w:val="goog_rdk_11"/>
              </w:sdtPr>
              <w:sdtContent>
                <w:r w:rsidDel="00000000" w:rsidR="00000000" w:rsidRPr="00000000">
                  <w:rPr>
                    <w:rFonts w:ascii="Arial Unicode MS" w:cs="Arial Unicode MS" w:eastAsia="Arial Unicode MS" w:hAnsi="Arial Unicode MS"/>
                    <w:sz w:val="24"/>
                    <w:szCs w:val="24"/>
                    <w:rtl w:val="0"/>
                  </w:rPr>
                  <w:t xml:space="preserve">≤ 10 %</w:t>
                </w:r>
              </w:sdtContent>
            </w:sdt>
          </w:p>
        </w:tc>
      </w:tr>
      <w:tr>
        <w:trPr>
          <w:cantSplit w:val="0"/>
          <w:tblHeader w:val="0"/>
        </w:trPr>
        <w:tc>
          <w:tcPr/>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tl w:val="0"/>
              </w:rPr>
              <w:t xml:space="preserve">Detección de estadios tempranos</w:t>
            </w:r>
          </w:p>
        </w:tc>
        <w:tc>
          <w:tcPr/>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sz w:val="24"/>
                <w:szCs w:val="24"/>
                <w:rtl w:val="0"/>
              </w:rPr>
              <w:t xml:space="preserve">% de casos de cáncer invasor detectados en estadios IA o IB mediante la ruta de teleexperticia sobre el total de cánceres detectados en la institución</w:t>
            </w:r>
          </w:p>
        </w:tc>
        <w:tc>
          <w:tcPr/>
          <w:p w:rsidR="00000000" w:rsidDel="00000000" w:rsidP="00000000" w:rsidRDefault="00000000" w:rsidRPr="00000000" w14:paraId="00000096">
            <w:pPr>
              <w:rPr>
                <w:rFonts w:ascii="Arial" w:cs="Arial" w:eastAsia="Arial" w:hAnsi="Arial"/>
                <w:sz w:val="24"/>
                <w:szCs w:val="24"/>
              </w:rPr>
            </w:pPr>
            <w:sdt>
              <w:sdtPr>
                <w:id w:val="900300925"/>
                <w:tag w:val="goog_rdk_12"/>
              </w:sdtPr>
              <w:sdtContent>
                <w:r w:rsidDel="00000000" w:rsidR="00000000" w:rsidRPr="00000000">
                  <w:rPr>
                    <w:rFonts w:ascii="Arial Unicode MS" w:cs="Arial Unicode MS" w:eastAsia="Arial Unicode MS" w:hAnsi="Arial Unicode MS"/>
                    <w:sz w:val="24"/>
                    <w:szCs w:val="24"/>
                    <w:rtl w:val="0"/>
                  </w:rPr>
                  <w:t xml:space="preserve">≥ 70 %</w:t>
                </w:r>
              </w:sdtContent>
            </w:sdt>
          </w:p>
        </w:tc>
      </w:tr>
      <w:tr>
        <w:trPr>
          <w:cantSplit w:val="0"/>
          <w:tblHeader w:val="0"/>
        </w:trPr>
        <w:tc>
          <w:tcPr/>
          <w:p w:rsidR="00000000" w:rsidDel="00000000" w:rsidP="00000000" w:rsidRDefault="00000000" w:rsidRPr="00000000" w14:paraId="00000097">
            <w:pPr>
              <w:rPr>
                <w:rFonts w:ascii="Arial" w:cs="Arial" w:eastAsia="Arial" w:hAnsi="Arial"/>
                <w:sz w:val="24"/>
                <w:szCs w:val="24"/>
              </w:rPr>
            </w:pPr>
            <w:bookmarkStart w:colFirst="0" w:colLast="0" w:name="_heading=h.3h0mu48mc0rk" w:id="0"/>
            <w:bookmarkEnd w:id="0"/>
            <w:r w:rsidDel="00000000" w:rsidR="00000000" w:rsidRPr="00000000">
              <w:rPr>
                <w:rFonts w:ascii="Arial" w:cs="Arial" w:eastAsia="Arial" w:hAnsi="Arial"/>
                <w:sz w:val="24"/>
                <w:szCs w:val="24"/>
                <w:rtl w:val="0"/>
              </w:rPr>
              <w:t xml:space="preserve">Cobertura de tamización en población objeto</w:t>
            </w:r>
          </w:p>
        </w:tc>
        <w:tc>
          <w:tcPr/>
          <w:p w:rsidR="00000000" w:rsidDel="00000000" w:rsidP="00000000" w:rsidRDefault="00000000" w:rsidRPr="00000000" w14:paraId="00000098">
            <w:pPr>
              <w:rPr>
                <w:rFonts w:ascii="Arial" w:cs="Arial" w:eastAsia="Arial" w:hAnsi="Arial"/>
                <w:sz w:val="24"/>
                <w:szCs w:val="24"/>
              </w:rPr>
            </w:pPr>
            <w:r w:rsidDel="00000000" w:rsidR="00000000" w:rsidRPr="00000000">
              <w:rPr>
                <w:rFonts w:ascii="Arial" w:cs="Arial" w:eastAsia="Arial" w:hAnsi="Arial"/>
                <w:sz w:val="24"/>
                <w:szCs w:val="24"/>
                <w:rtl w:val="0"/>
              </w:rPr>
              <w:t xml:space="preserve">% de mujeres en el grupo de edad objetivo (25-69 años) con al menos una prueba de tamización realizada en los últimos 3 años en la red de la institución</w:t>
            </w:r>
          </w:p>
        </w:tc>
        <w:tc>
          <w:tcPr/>
          <w:p w:rsidR="00000000" w:rsidDel="00000000" w:rsidP="00000000" w:rsidRDefault="00000000" w:rsidRPr="00000000" w14:paraId="00000099">
            <w:pPr>
              <w:rPr>
                <w:rFonts w:ascii="Arial" w:cs="Arial" w:eastAsia="Arial" w:hAnsi="Arial"/>
                <w:sz w:val="24"/>
                <w:szCs w:val="24"/>
              </w:rPr>
            </w:pPr>
            <w:sdt>
              <w:sdtPr>
                <w:id w:val="-417180988"/>
                <w:tag w:val="goog_rdk_13"/>
              </w:sdtPr>
              <w:sdtContent>
                <w:r w:rsidDel="00000000" w:rsidR="00000000" w:rsidRPr="00000000">
                  <w:rPr>
                    <w:rFonts w:ascii="Arial Unicode MS" w:cs="Arial Unicode MS" w:eastAsia="Arial Unicode MS" w:hAnsi="Arial Unicode MS"/>
                    <w:sz w:val="24"/>
                    <w:szCs w:val="24"/>
                    <w:rtl w:val="0"/>
                  </w:rPr>
                  <w:t xml:space="preserve">≥ 90 %</w:t>
                </w:r>
              </w:sdtContent>
            </w:sdt>
          </w:p>
        </w:tc>
      </w:tr>
    </w:tbl>
    <w:p w:rsidR="00000000" w:rsidDel="00000000" w:rsidP="00000000" w:rsidRDefault="00000000" w:rsidRPr="00000000" w14:paraId="0000009A">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13.Bibliografía</w:t>
      </w:r>
    </w:p>
    <w:p w:rsidR="00000000" w:rsidDel="00000000" w:rsidP="00000000" w:rsidRDefault="00000000" w:rsidRPr="00000000" w14:paraId="0000009B">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Instituto Nacional de Cancerología. Guía de práctica clínica informada en la evidencia para la tamización, detección y tratamiento de lesiones preneoplásicas del cuello uterino: versión completa 2025. Bogotá: INC; 2025.</w:t>
      </w:r>
    </w:p>
    <w:p w:rsidR="00000000" w:rsidDel="00000000" w:rsidP="00000000" w:rsidRDefault="00000000" w:rsidRPr="00000000" w14:paraId="0000009C">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Ministerio de Salud y Protección Social de Colombia. Resolución 2654 de 2019: disposiciones para la telesalud y parámetros para la práctica de la telemedicina en Colombia. Bogotá: MinSalud; 2019.</w:t>
      </w:r>
    </w:p>
    <w:p w:rsidR="00000000" w:rsidDel="00000000" w:rsidP="00000000" w:rsidRDefault="00000000" w:rsidRPr="00000000" w14:paraId="0000009D">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Ministerio de Salud y Protección Social de Colombia. Plan Decenal para el Control del Cáncer en Colombia 2022-2031. Bogotá: MinSalud; 2022.</w:t>
      </w:r>
    </w:p>
    <w:p w:rsidR="00000000" w:rsidDel="00000000" w:rsidP="00000000" w:rsidRDefault="00000000" w:rsidRPr="00000000" w14:paraId="0000009E">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Organización Mundial de la Salud. Estrategia mundial para acelerar la eliminación del cáncer del cuello uterino como problema de salud pública. Ginebra: OMS; 2020.</w:t>
      </w:r>
    </w:p>
    <w:p w:rsidR="00000000" w:rsidDel="00000000" w:rsidP="00000000" w:rsidRDefault="00000000" w:rsidRPr="00000000" w14:paraId="0000009F">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Organization Mundial de la Salud. WHO guideline for screening and treatment of cervical pre-cancer lesions for cervical cancer prevention. 2.ª ed. Ginebra: OMS; 2021.</w:t>
      </w:r>
    </w:p>
    <w:p w:rsidR="00000000" w:rsidDel="00000000" w:rsidP="00000000" w:rsidRDefault="00000000" w:rsidRPr="00000000" w14:paraId="000000A0">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Organización Mundial de la Salud. WHO guidelines for the use of thermal ablation for cervical pre-cancer lesions. Ginebra: OMS; 2019.</w:t>
      </w:r>
    </w:p>
    <w:p w:rsidR="00000000" w:rsidDel="00000000" w:rsidP="00000000" w:rsidRDefault="00000000" w:rsidRPr="00000000" w14:paraId="000000A1">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Cendales R, Pardo C, Wiesner C. Estimaciones de la carga de cáncer de cuello uterino en Colombia: proyecciones al 2030. Bogotá: Instituto Nacional de Cancerología; 2025.</w:t>
      </w:r>
    </w:p>
    <w:p w:rsidR="00000000" w:rsidDel="00000000" w:rsidP="00000000" w:rsidRDefault="00000000" w:rsidRPr="00000000" w14:paraId="000000A2">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 Sánchez GI, Molano M, Muñoz N. Epidemiología del virus del papiloma humano y cáncer de cuello uterino en Colombia. Rev Fac Nac Salud Pública. 2021.</w:t>
      </w:r>
    </w:p>
    <w:p w:rsidR="00000000" w:rsidDel="00000000" w:rsidP="00000000" w:rsidRDefault="00000000" w:rsidRPr="00000000" w14:paraId="000000A3">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 Wiesner C, Tovar S, Murcia MA, Agudelo C. Barreras para la implementación de la prueba ADN VPH como técnica de tamización primaria para cáncer de cuello uterino en Colombia. Rev Colomb Cancerol. 2013;17(3):93-102.</w:t>
      </w:r>
    </w:p>
    <w:p w:rsidR="00000000" w:rsidDel="00000000" w:rsidP="00000000" w:rsidRDefault="00000000" w:rsidRPr="00000000" w14:paraId="000000A4">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 Organización Panamericana de la Salud. Guía para adaptar y aplicar directrices informadas por la evidencia. 2.ª ed. Washington: OPS; 2022. doi:10.37774/9789275326350.</w:t>
      </w:r>
    </w:p>
    <w:p w:rsidR="00000000" w:rsidDel="00000000" w:rsidP="00000000" w:rsidRDefault="00000000" w:rsidRPr="00000000" w14:paraId="000000A5">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 GRADE Working Group. Manual GRADE para la calificación de la calidad de la evidencia y la fuerza de las recomendaciones. 2024. Disponible en: https://www.gradeworkinggroup.org</w:t>
      </w:r>
    </w:p>
    <w:p w:rsidR="00000000" w:rsidDel="00000000" w:rsidP="00000000" w:rsidRDefault="00000000" w:rsidRPr="00000000" w14:paraId="000000A6">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 Ministerio de Salud y Protección Social de Colombia. Resolución 3100 de 2019: procedimientos y condiciones de habilitación de servicios de salud. Bogotá: MinSalud; 2019.</w:t>
      </w:r>
    </w:p>
    <w:p w:rsidR="00000000" w:rsidDel="00000000" w:rsidP="00000000" w:rsidRDefault="00000000" w:rsidRPr="00000000" w14:paraId="000000A7">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 Responsables</w:t>
      </w:r>
    </w:p>
    <w:p w:rsidR="00000000" w:rsidDel="00000000" w:rsidP="00000000" w:rsidRDefault="00000000" w:rsidRPr="00000000" w14:paraId="000000A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REALIZA: </w:t>
      </w:r>
      <w:r w:rsidDel="00000000" w:rsidR="00000000" w:rsidRPr="00000000">
        <w:rPr>
          <w:rFonts w:ascii="Arial" w:cs="Arial" w:eastAsia="Arial" w:hAnsi="Arial"/>
          <w:rtl w:val="0"/>
        </w:rPr>
        <w:t xml:space="preserve">Dauris Lineth Mejía Pérez.</w:t>
      </w:r>
      <w:r w:rsidDel="00000000" w:rsidR="00000000" w:rsidRPr="00000000">
        <w:rPr>
          <w:rtl w:val="0"/>
        </w:rPr>
      </w:r>
    </w:p>
    <w:p w:rsidR="00000000" w:rsidDel="00000000" w:rsidP="00000000" w:rsidRDefault="00000000" w:rsidRPr="00000000" w14:paraId="000000A9">
      <w:pPr>
        <w:rPr>
          <w:rFonts w:ascii="Arial" w:cs="Arial" w:eastAsia="Arial" w:hAnsi="Arial"/>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AC">
          <w:pPr>
            <w:jc w:val="center"/>
            <w:rPr>
              <w:sz w:val="28"/>
              <w:szCs w:val="28"/>
            </w:rPr>
          </w:pPr>
          <w:r w:rsidDel="00000000" w:rsidR="00000000" w:rsidRPr="00000000">
            <w:rPr>
              <w:rFonts w:ascii="Arial" w:cs="Arial" w:eastAsia="Arial" w:hAnsi="Arial"/>
              <w:b w:val="1"/>
              <w:bCs w:val="1"/>
              <w:sz w:val="28"/>
              <w:szCs w:val="28"/>
              <w:rtl w:val="0"/>
            </w:rPr>
            <w:t xml:space="preserve">PROTOCOLO PARA LA PRESTACIÓN DE SERVICIO DE TELE EXPERTICIA PARA LA TAMIZACIÓN, DETECCIÓN Y TRATAMIENTO DE LESIONES PRENEOPLÁSICAS DEL CUELLO UTERINO</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dYrX+7nv93gQUdAEDjQ9PBRB9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IOaC4zaDBtdTQ4bWMwcms4AHIhMVVveEtQMkstcUJCbTVndHo1S1JYYUVRRHZwWnQwZk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