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Introducción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anemia por deficiencia de hierro (ADH) es la deficiencia nutricional más prevalente en el mundo, afectando a aproximadamente 2.000 millones de personas. En Colombia, según la Encuesta Nacional de Situación Nutricional (ENSIN 2015), la anemia impacta al 24,7 % de los niños menores de 5 años, y la deficiencia de hierro alcanza el 44,5 % en las gestantes, consolidándose como un problema de salud pública prioritario.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pesar de su frecuencia, esta patología suele ser subdiagnóstica y manejada de manera subóptima en el primer y segundo nivel de atención, especialmente en regiones rurales o de difícil acceso. La modalidad de tele-experticia ambulatoria interconecta al equipo de salud presencial con la especialidad de hematología, optimizando el análisis etiológico, agilizando la indicación de terapias como el hierro intravenoso y disminuyendo las complicaciones asociadas al diagnóstico tardío sin imponer traslados innecesarios al usuario.</w:t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los lineamientos operativos, asistenciales y clínicos para la prestación del servicio de tele-experticia en el manejo ambulatorio de la anemia por deficiencia de hierro, apoyando la toma de decisiones clínicas fundamentadas en evidencia, fortaleciendo la continuidad del cuidado, optimizando el seguimiento hematológico y definiendo de manera oportuna la necesidad de remisión a niveles superiores de atención, con el fin de reducir las complicaciones derivadas del diagnóstico tardío o del manejo inadecuado de esta condición en la población atendida en el primer y segundo nivel de atención en Colombia.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Estandarizar el proceso de solicitud, respuesta, registro y seguimiento de la tele-experticia dentro del programa de atención ambulatoria de pacientes con anemia por deficiencia de hierro.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las acciones que debe realizar el médico general y el personal de salud presencial del primer nivel antes, durante y después de la tele-experticia para la atención de pacientes con ADH.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Orientar la valoración clínica, el seguimiento y el ajuste del plan de manejo de pacientes con anemia por deficiencia de hierro, con de las vías de administración del hierro (oral vs. intravenoso) y la monitorización de la respuesta terapéutica.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los criterios clínicos y operativos para identificar pacientes que pueden continuar manejo ambulatorio en el primer nivel y aquéllos que requieren remisión a un nivel superior de complejidad o valoración presencial por hematología u otras especialidades.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las responsabilidades del centro remisor, del profesional tratante presencial, del profesional experto y de los demás actores involucrados en el proceso de tele-experticia para el adecuado manejo de la ADH.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que la atención ambulatoria brindada mediante tele-experticia se desarrolle con criterios de calidad, seguridad del paciente, pertinencia clínica, confidencialidad, trazabilidad y cumplimiento de la normatividad colombiana vigente.</w:t>
      </w:r>
    </w:p>
    <w:p w:rsidR="00000000" w:rsidDel="00000000" w:rsidP="00000000" w:rsidRDefault="00000000" w:rsidRPr="00000000" w14:paraId="0000000D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protocolo aplica a todos los profesionales de la salud en el primer y segundo nivel de atención, incluyendo médicos generales, personal de enfermería, coordinadores del programa y equipos de soporte tecnológico y de calidad. Su ámbito comprende la estandarización de solicitudes, la definición de acciones del médico general, la orientación terapéutica (selección de hierro oral o intravenoso), el establecimiento de criterios de remisión y la garantía de los estándares de calidad vigentes en telesalud.</w:t>
      </w:r>
    </w:p>
    <w:p w:rsidR="00000000" w:rsidDel="00000000" w:rsidP="00000000" w:rsidRDefault="00000000" w:rsidRPr="00000000" w14:paraId="0000000F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Marco Normativo</w:t>
      </w:r>
    </w:p>
    <w:p w:rsidR="00000000" w:rsidDel="00000000" w:rsidP="00000000" w:rsidRDefault="00000000" w:rsidRPr="00000000" w14:paraId="00000010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Normatividad General de Telesalud y Protección de Datos (Colombia)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 (MinSalud):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Regula la telesalud y establece las disposiciones obligatorias para la telemedicina en Colombia.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 (MinSalud):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Define los estándares y criterios de habilitación para prestadores de servicios de salud, regulando las modalidades de prestación.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1419 de 2010: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Establece los lineamientos y principios de la Política Nacional de Telesalud en el país.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1581 de 2012: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Marco estatutario para la Protección de Datos Personales, indispensable para la custodia y transmisión de registros clínicos e historias clínicas en entornos digitales.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538 de 2020: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Adopta medidas en el sector salud para facilitar la prestación de servicios mediante telemedicina durante emergencias sanitarias.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Guías del Ministerio de Salud y Protección Social: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Lineamientos técnicos en telesalud y estrategias de atención primaria en salud.</w:t>
      </w:r>
    </w:p>
    <w:p w:rsidR="00000000" w:rsidDel="00000000" w:rsidP="00000000" w:rsidRDefault="00000000" w:rsidRPr="00000000" w14:paraId="00000017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Normatividad y Evidencia Científica de Soporte Clínico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de la OMS sobre valores de corte de hemoglobina para definir anemia en individuos y poblaciones (2024).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Recomendaciones EHA-SWG para el diagnóstico, tratamiento y prevención de la deficiencia de hierro y la anemia ferropénica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Actualización de la práctica clínica de la Asociación Gastroenterológica Americana (AGA) sobre el manejo de la anemia ferropénica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Encuesta Nacional de Situación Nutricional (ENSIN 2015, INS/MinSalud).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Definiciones</w:t>
      </w:r>
    </w:p>
    <w:p w:rsidR="00000000" w:rsidDel="00000000" w:rsidP="00000000" w:rsidRDefault="00000000" w:rsidRPr="00000000" w14:paraId="0000001D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Términos de Telesalud y Telemedicina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Telesalud: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Conjunto de actividades relacionadas con la salud, servicios y métodos, los cuales se llevan a cabo a distancia con la ayuda de las tecnologías de la información y telecomunicaciones. Incluye, entre otras, la Telemedicina y la Teleeducación en salud.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Teleapoyo: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Soporte solicitado por un profesional de la salud a otro profesional de la salud a través de tecnologías de la información y comunicaciones en el marco del relacionamiento entre instituciones prestadoras de servicios de salud.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Teleexperticia: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la relación a distancia con método de comunicación sincrónico o asincrónico para la provisión de servicios de salud en cualquiera de sus componentes, utilizando tecnologías de información y comunicación entre: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Dos profesionales de la salud, uno de los cuales atiende presencialmente al usuario y otro atiende a distancia. El profesional que atiende presencialmente al usuario es responsable del tratamiento y de las decisiones y recomendaciones entregadas al paciente y el que atiende a distancia actúa como apoyo o asesor;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Profesionales de la salud que en junta médica realizan una interconsulta o una asesoría;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Personal de salud no profesional que solicita el apoyo de un profesional de la salud para la toma de decisiones.</w:t>
      </w:r>
    </w:p>
    <w:p w:rsidR="00000000" w:rsidDel="00000000" w:rsidP="00000000" w:rsidRDefault="00000000" w:rsidRPr="00000000" w14:paraId="00000024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Términos Clínicos Complementarios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Anemia por deficiencia de hierro (ADH):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Condición clínica que resulta de la reducción progresiva de los depósitos corporales de hierro, cuya consecuencia final es la síntesis insuficiente de hemoglobina y la producción de eritrocitos microcíticos e hipocrómicos. Criterios OMS: Hb &lt; 13,0 g/dL en hombres adultos; Hb &lt; 12,0 g/dL en mujeres no embarazadas; Hb &lt; 11,0 g/dL en embarazadas.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Deficiencia de hierro sin anemia: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Depleción pura de depósitos (ferritina disminuida) en la que los niveles de hemoglobina se mantienen normales, pero cursa con sintomatología como fatiga crónica y deterioro cognitivo.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Deficiencia funcional de hierro: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Restricción de hierro para la eritropoyesis a pesar de depósitos corporales normales o elevados, frecuentemente mediada por la elevación de hepcidina en contextos inflamatorios crónicos (ERC, IC, EII).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Anemia ferropénica refractaria al hierro oral (IRIDA):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Trastorno genético raro causado por mutaciones en el gen TMPRSS6, caracterizado por una elevación constitutiva de hepcidina que bloquea la absorción intestinal de hierro y genera refractariedad clínica.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Saturación de transferrina (TSAT):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Porcentaje de transferrina circulante que se encuentra ocupada por hierro. Un valor inferior al 20 % es indicativo de una restricción en el suministro de hierro de uso hematológico.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Anemia persistente y de difícil manejo: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Situación clínica en la que el paciente no alcanza las metas terapéuticas establecidas, presenta deterioro progresivo de los valores de hemoglobina o respuesta inadecuada/ausente al tratamiento.</w:t>
      </w:r>
    </w:p>
    <w:p w:rsidR="00000000" w:rsidDel="00000000" w:rsidP="00000000" w:rsidRDefault="00000000" w:rsidRPr="00000000" w14:paraId="0000002B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Flujo Operativo y Clínico en Telesalud</w:t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1023"/>
        <w:gridCol w:w="2182"/>
        <w:gridCol w:w="1762"/>
        <w:gridCol w:w="3855"/>
        <w:tblGridChange w:id="0">
          <w:tblGrid>
            <w:gridCol w:w="1023"/>
            <w:gridCol w:w="2182"/>
            <w:gridCol w:w="1762"/>
            <w:gridCol w:w="38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 / Herramienta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Identificación de necesidad de tele-experticia.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Profesional asistencial del programa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Respuesta inadecuada a hierro oral (sin incremento de Hb $\geq$ 1 g/dL en 4 semanas), sospecha de malabsorción o etiología incierta.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Verificación de requisitos clínicos y consentimiento.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Centro Remisor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Confirmación del diagnóstico bioquímico previo (Ferritina &lt; 30 ng/mL o TSAT &lt; 20 %) y firma del consentimiento informado.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Diligenciamiento de solicitud y envío de datos clínicos.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Profesional solicitante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Carga del caso y remisión de laboratorios a través de los canales institucionales: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3228234549 - 3228234532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telemedicina.digital@hun.edu.co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Recepción y validación de información.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Centro Referente / 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Validación de paraclínicos indispensables (hemograma y perfil de hierro) y cargue administrativo 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Hosvital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Análisis de caso y concepto clínico.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Evaluación etiológica, definición de la vía (hierro oral vs. IV) y registro formal del concepto en la historia clínica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Hosvital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Envío de ordenamiento y recomendaciones.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Notificación oficial de las dosis calculadas, metas de Hb y paraclínicos de control a través de correo electrónico corporativo.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Implementación de recomendaciones y seguimiento.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Profesional solicitante / Programa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Aplicación del plan de manejo, educación en adherencia y control con hemograma a las 4 semanas de la intervención.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Cuadro de Abordaje Clínico y Terapéutico en ADH</w:t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2028"/>
        <w:gridCol w:w="2359"/>
        <w:gridCol w:w="2387"/>
        <w:gridCol w:w="2048"/>
        <w:tblGridChange w:id="0">
          <w:tblGrid>
            <w:gridCol w:w="2028"/>
            <w:gridCol w:w="2359"/>
            <w:gridCol w:w="2387"/>
            <w:gridCol w:w="2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Estadio Clínico / 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Perfil Bioquímico Típico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Orientación Terapéutica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Meta de Monitoreo / Criterio Clínico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Deficiencia de Hierro sin Anemia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Hemoglobina Normal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Ferritina &lt; 30 ng/mL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TSAT Variable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Hierro por vía oral.</w:t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 de hábitos nutricionales y pérdidas menores.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Resolución de síntomas (fatiga, astenia).</w:t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Seguimiento ambulatorio básico.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Anemia por Deficiencia de Hierro (Establecida)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Hb &lt; 13 g/dL (♂) o &lt; 12 g/dL (♀)</w:t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Ferritina &lt; 30 ng/mL</w:t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TSAT &lt; 20 %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Esquema estándar con hierro oral.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Investigación obligatoria de la causa subyacente.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Incremento de Hb $\geq$ 1 g/dL a las 4 semanas de tratamiento continuo.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Intolerancia o Falla al Hierro 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Hb persistente o en descenso</w:t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Síntomas gastrointestinales severos</w:t>
            </w:r>
          </w:p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 adherencia reportada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 de cambio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Hierro Intravenoso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(parenteral).</w:t>
            </w:r>
          </w:p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Cálculo de dosis total requerida.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Incremento esperado de Hb a las 2-4 semanas de la aplicación parenteral.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Deficiencia Funcional de Hierro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Ferritina normal o elevada</w:t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TSAT &lt; 20 %</w:t>
            </w:r>
          </w:p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Marcadores inflamatorios altos (PCR, VSG)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Tratar la enfermedad inflamatoria de base (ERC, IC, EII).</w:t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Uso de hierro IV si hay restricción severa.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Optimización funcional eritropoyética según la evolución de la comorbilidad.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Sospecha de Síndrome IRIDA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Ferropenia grave refractaria</w:t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TSAT extremadamente baja</w:t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Refractariedad total a vía oral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Contraindicación de vía oral por mutación TMPRSS6.</w:t>
            </w:r>
          </w:p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Manejo exclusivo con hierro IV.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Definición por tele-experticia y remisión a Hematología presencial.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Gestante con ADH Moderada-Grave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Hb &lt; 10 g/dL en el 2do o 3er trimestre</w:t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Ferritina disminuida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Considerar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Hierro Intravenoso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de forma prioritaria debido al riesgo materno-fetal.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Corrección rápida de la masa eritrocitaria. Respuesta prioritaria en 24 horas.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Criterios de Inclusión / Exclusión y Remisión en Telesalud</w:t>
      </w:r>
    </w:p>
    <w:p w:rsidR="00000000" w:rsidDel="00000000" w:rsidP="00000000" w:rsidRDefault="00000000" w:rsidRPr="00000000" w14:paraId="0000008C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Criterios de Inclusión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anemia por deficiencia de hierro confirmada bioquímicamente (ferritina &lt; 30 ng/mL o TSAT &lt; 20 %), que presenten respuesta inadecuada al tratamiento, etiología no aclarada o dificultades terapéuticas.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que requieran apoyo experto para la selección de la vía de administración del hierro (oral versus intravenoso) o el cálculo de la dosis total de hierro parenteral.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sospecha de malabsorción, ADH refractaria al hierro oral correctamente administrado, o sospecha de IRIDA.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Gestantes con ADH moderada a grave (Hb &lt; 10 g/dL) o con intolerancia al hierro oral, candidatas a hierro intravenoso en el segundo o tercer trimestre del embarazo.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Adultos mayores con ADH multifactorial y pacientes con comorbilidades crónicas (ERC, insuficiencia cardíaca, enfermedad inflamatoria intestinal, neoplasia activa).</w:t>
      </w:r>
    </w:p>
    <w:p w:rsidR="00000000" w:rsidDel="00000000" w:rsidP="00000000" w:rsidRDefault="00000000" w:rsidRPr="00000000" w14:paraId="00000092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Criterios de Exclusión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que presenten signos de alarma, inestabilidad hemodinámica, anemia grave sintomática con repercusión clínica (Hb &lt; 7 g/dL asociada a disnea en reposo, hipotensión o datos de hipoperfusión tisular) que ameriten manejo hospitalario o transfusión urgente.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que no pertenezcan al programa de crónicos o cuya necesidad no corresponda al ámbito de la tele-experticia ambulatoria programada.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con fallas insubsanables de conectividad técnica o con ausencia absoluta de los paraclínicos mínimos exigidos para la valoración (hemograma y ferritina sérica).</w:t>
      </w:r>
    </w:p>
    <w:p w:rsidR="00000000" w:rsidDel="00000000" w:rsidP="00000000" w:rsidRDefault="00000000" w:rsidRPr="00000000" w14:paraId="00000096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Criterios Clínicos de Remisión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médico tratante presencial derivará al paciente de forma directa a una valoración presencial especializada en los siguientes escenarios clínicos: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 grave establecida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(Hb &lt; 7 g/dL) sin inestabilidad crítica pero con requerimiento potencial de soporte transfusional supervisado o monitorización hospitalaria continua.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Alta sospecha de síndrome de IRIDA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(anemia ferropénica refractaria familiar) o fallas repetidas y severas de la respuesta al hierro parenteral.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Gestantes en el primer trimestre con anemias severas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pacientes refractarias que cursen con comorbilidades descompensadas por la hipoxia tisular.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Sospecha de sangrado gastrointestinal activo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oculto o visible evidente en adultos mayores, que obligue a una intervención prioritaria presencial por Gastroenterología (endoscopia/colonoscopia de urgencia).</w:t>
      </w:r>
    </w:p>
    <w:p w:rsidR="00000000" w:rsidDel="00000000" w:rsidP="00000000" w:rsidRDefault="00000000" w:rsidRPr="00000000" w14:paraId="0000009C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Roles y Responsabilidades en Telesalud</w:t>
      </w:r>
    </w:p>
    <w:p w:rsidR="00000000" w:rsidDel="00000000" w:rsidP="00000000" w:rsidRDefault="00000000" w:rsidRPr="00000000" w14:paraId="0000009D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Profesional Solicitante (Centro Remisor)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a los pacientes candidatos dentro del programa de crónicos que requieran el concepto de tele-experticia.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la valoración clínica presencial completa: anamnesis de pérdidas hemáticas, antecedentes quirúrgicos, fármacos y revisión estricta de la adherencia.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de forma bioquímica el perfil de hierro (ferritina y TSAT) antes de emitir la interconsulta, evitando solicitudes basadas en presunciones sintomáticas sin laboratorio.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Cargar la información con oportunidad, implementar las conductas sugeridas por el experto dentro de sus competencias y dejar registro de todo el proceso en la historia clínica del usuario.</w:t>
      </w:r>
    </w:p>
    <w:p w:rsidR="00000000" w:rsidDel="00000000" w:rsidP="00000000" w:rsidRDefault="00000000" w:rsidRPr="00000000" w14:paraId="000000A2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Profesional Experto (Centro Referente)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la información clínica recibida y emitir un concepto técnico integral fundamentado en la evidencia científica para guiar el diagnóstico etiológico y el tratamiento del paciente con ADH.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Determinar con precisión el estadio de la ferropenia y definir la ruta óptima de reposición (fármaco, dosis exacta y vía parenteral si se requiere).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la interconsulta de forma clara en la plataforma institucional incluyendo fecha, hora y justificación explícita en caso de requerirse una remisión presencial.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 cumplimiento a los tiempos de oportunidad de respuesta pactados institucionalmente.</w:t>
      </w:r>
    </w:p>
    <w:p w:rsidR="00000000" w:rsidDel="00000000" w:rsidP="00000000" w:rsidRDefault="00000000" w:rsidRPr="00000000" w14:paraId="000000A7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Personal de Enfermería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Monitorizar la correcta toma y el cumplimiento del tratamiento, y vigilar la aparición de signos de alarma (palidez marcada, disnea, astenia invalidante).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Consolidar los paraclínicos mínimos requeridos previos a la interacción virtual y educar activamente al paciente sobre las pautas de adherencia.</w:t>
      </w:r>
    </w:p>
    <w:p w:rsidR="00000000" w:rsidDel="00000000" w:rsidP="00000000" w:rsidRDefault="00000000" w:rsidRPr="00000000" w14:paraId="000000AA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Tiempos de Respuesta Sugeridos</w:t>
      </w:r>
    </w:p>
    <w:tbl>
      <w:tblPr>
        <w:tblStyle w:val="Table3"/>
        <w:tblW w:w="8822.0" w:type="dxa"/>
        <w:jc w:val="left"/>
        <w:tblLayout w:type="fixed"/>
        <w:tblLook w:val="0400"/>
      </w:tblPr>
      <w:tblGrid>
        <w:gridCol w:w="3034"/>
        <w:gridCol w:w="2285"/>
        <w:gridCol w:w="3503"/>
        <w:tblGridChange w:id="0">
          <w:tblGrid>
            <w:gridCol w:w="3034"/>
            <w:gridCol w:w="2285"/>
            <w:gridCol w:w="35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Tipo de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Tiempo de Respuesta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Emergencia Vital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(Ej: Hb &lt; 7 g/dL + Inestabilidad)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Atención Inmediata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Excluido de tele-experticia ambulatoria. Remisión a urgencias.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Gestante con ADH moderada-grave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(Hb &lt; 10 g/dL)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Hasta 24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Máxima prioridad por alto riesgo materno-fetal.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ADH moderada sintomática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con intolerancia oral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24 a 48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Prioridad intermedia para evaluar cambio rápido a hierro IV.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ADH con respuesta inadecuada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etiología no clara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48 a 72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Tele-experticia programada asincrónica convencional.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Sospecha de IRIDA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 fallas refractarias puras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Hasta 48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Evaluación para definir remisión presencial a hematología.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Estrategias de Humanización Digital y Diálogo Intercultural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Explicación Empática y Cercana: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Mitigar la frialdad de la barrera tecnológica explicando detalladamente al paciente que el análisis a distancia de su perfil de hierro por el especialista busca agilizar su tratamiento (como la aplicación de hierro IV) evitando que deba trasladarse de su municipio.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Reconocimiento del Diálogo Intercultural: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regiones con fuerte arraigo de medicina tradicional, respetar las prácticas dietéticas o botánicas que la comunidad asocie con "fortalecer la sangre", siempre y cuando no interfieran con la seguridad del paciente. El personal presencial debe explicar con respeto y calidez la necesidad biológica insustituible de la suplementación farmacológica de hierro y ácido fólico para recuperar las reservas del cuerpo.</w:t>
      </w:r>
    </w:p>
    <w:p w:rsidR="00000000" w:rsidDel="00000000" w:rsidP="00000000" w:rsidRDefault="00000000" w:rsidRPr="00000000" w14:paraId="000000C0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Indicadores de Calidad y Seguimiento</w:t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$$\text{Indicador 1: Idoneidad Diagnóstica} = \left( \frac{\text{No. solicitudes con ferritina y TSAT documentadas bioquímicamente}}{\text{Total de solicitudes de tele-experticia enviadas por ADH}} \right) \times 100 \quad [\text{Meta: } \geq 95\%]$$</w:t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$$\text{Indicador 2: Oportunidad de Respuesta} = \left( \frac{\text{No. interconsultas respondidas dentro de los plazos del protocolo}}{\text{Total de solicitudes de tele-experticia por ADH procesadas}} \right) \times 100 \quad [\text{Meta: } \geq 90\%]$$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$$\text{Indicador 3: Efectividad Terapéutica} = \left( \frac{\text{No. pacientes con incremento de Hb } \geq 1\text{ g/dL a las 4 semanas del manejo}}{\text{Total de pacientes con tratamiento instaurado y evaluado}} \right) \times 100 \quad [\text{Meta: } \geq 80\%]$$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tpxn3s2gzst5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$$\text{Indicador 4: Calidad del Registro} = \left( \frac{\text{No. tele-experticias con registro completo (solicitud, concepto y conducta)}}{\text{Total de tele-experticias ejecutadas en el sistema}} \right) \times 100 \quad [\text{Meta: } \geq 95\%]$$</w:t>
      </w:r>
    </w:p>
    <w:p w:rsidR="00000000" w:rsidDel="00000000" w:rsidP="00000000" w:rsidRDefault="00000000" w:rsidRPr="00000000" w14:paraId="000000C5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Auerbach M, DeLoughery TG, Tirnauer JS. Iron deficiency in adults: a review. JAMA. 2025;333(20):1813–1823.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Benson AE, Lo JO, Achebe MO, et al. Management of iron deficiency in children, adults, and pregnant individuals: recommendations. Lancet Haematol. 2025;12:e376–e388.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Iolascon A, Andolfo I, Russo R, et al. Recommendations for diagnosis, treatment, and prevention of iron deficiency and iron deficiency anemia. HemaSphere. 2024;8:e108.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DeLoughery TG, Jackson CS, Ko CW, Rockey DC. AGA clinical practice update on management of iron deficiency anemia: expert review. Clin Gastroenterol Hepatol. 2024;22(8):1575–1583.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World Health Organization. Guideline on haemoglobin cutoffs to define anaemia in individuals and populations. Geneva: WHO; 2024.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Instituto Nacional de Salud (INS) / Ministerio de Salud y Protección Social. Encuesta Nacional de Situación Nutricional (ENSIN 2015). Bogotá: MinSalud; 2015.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Resolución 2654 de 2019. Por la cual se regula la telesalud y telemedicina en Colombia.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Resolución 3100 de 2019. Por la cual se adoptan los estándares y criterios para la habilitación de los servicios de salud en Colombia.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“Este es un protocolo que se basa en la atención de anemia por deficiencia de hierro en primer y segundo nivel, y es un plan de seguimiento por telemedicina, y no pretende sustituir guías de práctica clínica”.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Raúl Eduardo Walteros Manrique (Médico Hematólogo)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 y Aprueba: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Sugeich Meléndez</w:t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4"/>
      <w:tblW w:w="9456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318"/>
      <w:gridCol w:w="2155"/>
      <w:gridCol w:w="3097"/>
      <w:gridCol w:w="1886"/>
      <w:tblGridChange w:id="0">
        <w:tblGrid>
          <w:gridCol w:w="2318"/>
          <w:gridCol w:w="2155"/>
          <w:gridCol w:w="3097"/>
          <w:gridCol w:w="1886"/>
        </w:tblGrid>
      </w:tblGridChange>
    </w:tblGrid>
    <w:tr>
      <w:trPr>
        <w:cantSplit w:val="0"/>
        <w:trHeight w:val="191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D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D5">
          <w:pPr>
            <w:spacing w:after="16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PROTOCOLO TELE EXPERTICIA ANEMIA POR DEFICIENCIA DE HIERRO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D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WqSfem2Gr0BYQSz23FzTdOaXw==">CgMxLjAyDmgudHB4bjNzMmd6c3Q1OAByITE3eTlDRWFnSDJJRHdNekM4d2hyRWxqTTJndGl5Y21mTA==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