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 fiebre amarilla es una enfermedad viral, con dos escenarios de transmisión: un ciclo urbano o rural de circulación domiciliada, con la especie Aedes aegypti como principal vector y con una transmisión hombre-mosquito-hombre; y un ciclo selvático, donde el hombre es un hospedero accidental en el curso de epizootias y cuyos principales vectores son mosquitos de los géneros Haemagogus y Sabethes. Esta enfermedad genera anualmente numerosos brotes en África y algunos países de Suramérica, como Brasil. En 2023, la OMS estimó que la incidencia anual en África es de 200 000 casos nuevos (90 % de la carga mundial) y 30 000 muertes. La principal estrategia de prevención y control es la vacunación, la cual tiene una efectividad mayor del 95 %. La fiebre amarilla tiene variedad clínica, desde formas asintomáticas o leves hasta otras caracterizadas por un compromiso hepato-renal con ictericia, hemorragia, albuminuria y a veces oliguria o anuria, con una letalidad que oscila entre 5–10 % y en los casos graves entre el 40–60 %.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En Colombia, los últimos casos urbanos se presentaron en Socorro (Santander) en 1942. Entre 2000 y 2019 se confirmaron 215 casos de fiebre amarilla selvática. Entre 2023 y 2025 se han confirmado 150 casos, en su mayoría sin antecedente vacunal o desconocido, incluidos mayores de 60 años, con desplazamientos a áreas rurales e identificados como nuevos focos de transmisión en zonas boscosas. El periodo de incubación oscila entre tres y seis días, con evidencia de un máximo de 15 días, y la enfermedad presenta tres fases clínicas (infección, remisión e intoxicación), a veces indiferenciadas, lo que dificulta su reconocimiento oportuno.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Como estrategia de prevención, el Ministerio de Salud y Protección Social lidera el Plan Nacional de Prevención y Control de la Fiebre Amarilla. Según la Resolución 691 de 2025, la estratificación de riesgo de transmisión identifica 152 municipios de muy alto riesgo, 251 de alto riesgo y 719 de bajo riesgo en el país.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(Tomado de: Colombia. Instituto Nacional de Salud. Protocolo de Vigilancia en Salud Pública de Fiebre Amarilla, versión 06, 2025.)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Objetivo General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Conocer los lineamientos de atención clínica integral de las personas afectadas por la fiebre amarilla en los territorios, para garantizar una respuesta eficaz y coordinada que asegure la identificación temprana, el tratamiento oportuno y el seguimiento adecuado.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Objetivos Específicos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Identificar tempranamente los casos probables de fiebre amarilla.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Investigar la ocurrencia de casos en focos antiguos y nuevos para fiebre amarilla cuando se reporte un caso probable.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Realizar la clasificación final de los casos probables, de acuerdo con las características epidemiológicas, clínicas y de laboratorio (virológicas e histopatológicas).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Alcance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Aplica para todo el personal asistencial del grupo médico de las instituciones de salud que atiendan pacientes con este diagnóstico.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Marco Normativo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691 de 2025: declara la emergencia sanitaria y ordena la vacunación obligatoria en zonas de alto riesgo (como Amazonas, Arauca, Putumayo) y áreas de muy alto riesgo (148 municipios) para población mayor de 9 meses.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Circular Externa 012 de 2025: define la gestión integral de la contingencia, la vigilancia en salud pública y la intensificación de las acciones de vacunación.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Circular Externa 029 de 2025: establece la obligatoriedad de la vacuna para viajeros a zonas de alto riesgo y especifica las acciones por nivel de riesgo municipal.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Circular Externa 001 de 2026: recomienda dosis de refuerzo cada 10 años para personas en alto riesgo y casos específicos (como vacunados con dosis fraccionadas).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 estándares de habilitación y modalidades de telemedicina.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6. Definiciones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Las definiciones de caso (probable, confirmado y descartado) y demás términos de vigilancia se adoptan del Protocolo de Vigilancia en Salud Pública de Fiebre Amarilla del Instituto Nacional de Salud.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(Tomado de: Colombia. Instituto Nacional de Salud. Protocolo de Vigilancia en Salud Pública de Fiebre Amarilla, versión 06, 2025.)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7. Recomendaciones para la Atención Clínica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Abordaje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Anamnesis dirigida a antecedente vacunal, exposición en zonas de riesgo y tiempo de evolución.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 examen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Realizar un examen físico completo prestando especial atención a signos como la ictericia, la deshidratación y la hepatomegalia.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Realizar un seguimiento estricto de los signos vitales y la temperatura cada 2 a 3 horas.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Laboratorios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En todos los casos con sospecha clínica de fiebre amarilla se deben realizar los siguientes laboratorios, con una oportunidad en el reporte de máximo 2 horas (esto no debe retrasar la remisión si el paciente lo requiere): niveles de transaminasas y bilirrubinas; hemograma con recuento de plaquetas; BUN, creatinina y uroanálisis.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Si el centro médico no cuenta con medición de transaminasas y bilirrubinas, debe iniciar el proceso de remisión de manera inmediata según la estratificación clínica.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Atención en baja complejidad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La baja complejidad continuará siendo la puerta de entrada al sistema de salud. Durante la permanencia del paciente se recomienda: hidratación oral o intravenosa según las recomendaciones por grupos de manejo; evitar y limitar el uso de acetaminofén a un máximo de 3 g/día; evitar vías intramusculares; no usar AINE ni ácido acetilsalicílico.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Realizar la notificación al SIVIGILA según el protocolo nacional de vigilancia en salud pública de fiebre amarilla (Cód. INS 310).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Seguimiento estricto de signos vitales y condición clínica (mínimo cada hora), del balance hídrico (especial atención a la diuresis), de la curva térmica (mínimo cada 2 a 3 horas) y vigilancia neurológica (hoja neurológica).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Valoración médica cada hora (especial atención a signos de alarma y gravedad). </w:t>
      </w:r>
      <w:r w:rsidDel="00000000" w:rsidR="00000000" w:rsidRPr="00000000">
        <w:rPr>
          <w:color w:val="333333"/>
          <w:rtl w:val="0"/>
        </w:rPr>
        <w:t xml:space="preserve">Ante la pérdida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de apetito, no forzar la ingesta de alimentos (no ofrecer té). Aislamiento vectorial. Remisión según la condición clínica. Toma de laboratorios esenciales (no debe demorar la remisión).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Todas las redes de atención de las aseguradoras deberán contar con servicios en modalidad de telemedicina (telemedicina interactiva, no interactiva, </w:t>
      </w:r>
      <w:r w:rsidDel="00000000" w:rsidR="00000000" w:rsidRPr="00000000">
        <w:rPr>
          <w:color w:val="333333"/>
          <w:rtl w:val="0"/>
        </w:rPr>
        <w:t xml:space="preserve">tele experticia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y telemonitoreo en todos los niveles de atención, Resolución 3100 de 2019), dirigidos a los centros de baja complejidad. En el contexto de pacientes con sospecha clínica de fiebre amarilla, el médico podrá solicitar asistencia vía telefónica para individualizar el manejo médico a las condiciones de cada paciente y garantizar una atención adecuada.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Salud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Durante el curso de la enfermedad, y posterior a esta, puede presentarse estigma asociado a la infección, llevando a la persona a ser excluida o aislada socialmente. En caso de identificarse, se activa la ruta de atención integral de salud mental para alertar, acompañar y referir las situaciones que generen afectación en la salud mental de la persona, su familia o su comunidad.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8. Roles y Responsabilidades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Gerencia y Dirección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Garantiza la socialización del protocolo, los recursos y la articulación institucional.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Coordinador médico / Salud pública y epidemiología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Coordina la implementación, la notificación y la vigilancia epidemiológica.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Personal asistencial (médicos)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Cumplimiento estricto del protocolo y de los lineamientos nacionales vigentes.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Autocontrol y pares: verificación entre el equipo de la adherencia y la calidad de la atención.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Educación al usuario: orientación sobre la enfermedad, la vacunación y los signos de alarma.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9. Flujo Operativo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6"/>
        <w:gridCol w:w="2207"/>
        <w:gridCol w:w="2208"/>
        <w:gridCol w:w="2207"/>
        <w:tblGridChange w:id="0">
          <w:tblGrid>
            <w:gridCol w:w="2206"/>
            <w:gridCol w:w="2207"/>
            <w:gridCol w:w="2208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Socialización del protocolo y de los lineamientos nacionales vigentes de atención para fiebre amarilla.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Subdirector científico - Coordinador médico - Salud pública y epidemiología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Socialización institucional.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10. Tiempos de Respuesta Sugeridos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Reporte de laboratorios esenciales: máximo 2 horas (sin retrasar la remisión).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Seguimiento de signos vitales y condición clínica: mínimo cada hora.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Curva térmica: mínimo cada 2 a 3 horas.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Solicitud de asistencia por telemedicina desde baja complejidad: según disponibilidad de la red, sin diferir la remisión cuando esté indicada.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11. Criterios de Inclusión / Exclusión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Este protocolo es de cumplimiento para toda persona del talento humano en salud en la atención de pacientes con sospecha de fiebre amarilla.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 aplica.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12. Indicadores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2944"/>
        <w:gridCol w:w="2941"/>
        <w:tblGridChange w:id="0">
          <w:tblGrid>
            <w:gridCol w:w="2943"/>
            <w:gridCol w:w="2944"/>
            <w:gridCol w:w="2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Número de pacientes con sospecha de fiebre amarilla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Número de pacientes adultos atendidos en el periodo con sospecha de fiebre amarilla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Adherencia al protocolo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cumplidas en términos de calidad de la historia clínica y notificación a salud pública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13. Bibliografía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Lineamiento para la atención clínica integral de la fiebre amarilla en Colombia. Versión 2. Subdirección de Enfermedades Transmisibles, Grupo de Gestión Integrada de Enfermedades Endemo-epidémicas; 2025.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Lineamientos para la vacunación contra la fiebre amarilla en el marco de la emergencia sanitaria, Colombia 2025. Actualización en el marco de la Circular 012 de 2025 y la Resolución 691 de 2025, versión 2. </w:t>
      </w:r>
      <w:r w:rsidDel="00000000" w:rsidR="00000000" w:rsidRPr="00000000">
        <w:rPr>
          <w:color w:val="333333"/>
          <w:rtl w:val="0"/>
        </w:rPr>
        <w:t xml:space="preserve">Mayo de 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Colombia. Instituto Nacional de Salud. Protocolo de Vigilancia en Salud Pública de Fiebre Amarilla, versión 06. 2025. https://doi.org/10.33610/579808wqtqpi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14. Responsables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REALIZA: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Dc. Juan Sebastian Bravo Med. Infectólogo.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59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DE TELE-EXPERTICIA PARA EL MANEJO DE LA FIEBRE AMARILLA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gnb4pxEq53NQ8TzZ1sElp0FnRA==">CgMxLjA4AHIhMWJJZ21LOEVaS2d2elFqYldkZmpOVkJRQUJmQV95dDgt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