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b w:val="1"/>
          <w:bCs w:val="1"/>
        </w:rPr>
      </w:pPr>
      <w:r w:rsidDel="00000000" w:rsidR="00000000" w:rsidRPr="00000000">
        <w:rPr>
          <w:rFonts w:ascii="Arial" w:cs="Arial" w:eastAsia="Arial" w:hAnsi="Arial"/>
          <w:b w:val="1"/>
          <w:bCs w:val="1"/>
          <w:rtl w:val="0"/>
        </w:rPr>
        <w:t xml:space="preserve">1. Introducción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La Neumonía Adquirida en la Comunidad (NAC) es una infección aguda del parénquima pulmonar causada por microorganismos adquiridos fuera del entorno hospitalario, y constituye una de las principales causas de morbimortalidad infecciosa en el mundo y en Colombia. Según la Organización Mundial de la Salud, la neumonía es responsable de aproximadamente 2,5 millones de muertes anuales en adultos a nivel mundial, con una carga desproporcionada en países de ingresos bajos y medios. En Colombia, la NAC ocupa un lugar preponderante entre las causas de hospitalización y muerte por enfermedades infecciosas en adultos mayores de 65 años, en personas con comorbilidades crónicas (diabetes mellitus, enfermedad pulmonar obstructiva crónica, insuficiencia cardíaca, inmunosupresión) y en poblaciones en condición de vulnerabilidad social.</w:t>
      </w:r>
    </w:p>
    <w:p w:rsidR="00000000" w:rsidDel="00000000" w:rsidP="00000000" w:rsidRDefault="00000000" w:rsidRPr="00000000" w14:paraId="00000004">
      <w:pPr>
        <w:jc w:val="both"/>
        <w:rPr>
          <w:rFonts w:ascii="Arial" w:cs="Arial" w:eastAsia="Arial" w:hAnsi="Arial"/>
        </w:rPr>
      </w:pPr>
      <w:r w:rsidDel="00000000" w:rsidR="00000000" w:rsidRPr="00000000">
        <w:rPr>
          <w:rFonts w:ascii="Arial" w:cs="Arial" w:eastAsia="Arial" w:hAnsi="Arial"/>
          <w:rtl w:val="0"/>
        </w:rPr>
        <w:t xml:space="preserve">El manejo inicial de la NAC en el nivel primario de atención es frecuentemente subóptimo en Colombia por razones estructurales: la dificultad para acceder a estudios de imagen en zonas alejadas, la ausencia de herramientas validadas de estratificación del riesgo en la práctica cotidiana del médico general, la incertidumbre sobre los criterios de hospitalización versus tratamiento ambulatorio, y la variabilidad en la selección del esquema antibiótico empírico. Esta variabilidad se traduce en tratamientos inapropiados, remisiones tardías de pacientes que ya presentaban criterios de gravedad, y hospitalizaciones innecesarias de pacientes con NAC leve que podían ser manejados de forma segura en el domicilio.</w:t>
      </w:r>
    </w:p>
    <w:p w:rsidR="00000000" w:rsidDel="00000000" w:rsidP="00000000" w:rsidRDefault="00000000" w:rsidRPr="00000000" w14:paraId="00000005">
      <w:pPr>
        <w:jc w:val="both"/>
        <w:rPr>
          <w:rFonts w:ascii="Arial" w:cs="Arial" w:eastAsia="Arial" w:hAnsi="Arial"/>
        </w:rPr>
      </w:pPr>
      <w:r w:rsidDel="00000000" w:rsidR="00000000" w:rsidRPr="00000000">
        <w:rPr>
          <w:rFonts w:ascii="Arial" w:cs="Arial" w:eastAsia="Arial" w:hAnsi="Arial"/>
          <w:rtl w:val="0"/>
        </w:rPr>
        <w:t xml:space="preserve">La teleexperticia sincrónica aplicada al manejo de la NAC permite que el especialista en medicina interna, neumología o infectología del Hospital Universitario Nacional de Colombia (HUN) participe en tiempo real en la estratificación del riesgo del paciente, la interpretación de la radiografía de tórax enviada por imagen digital, la validación del esquema antibiótico empírico y la decisión de hospitalización o manejo ambulatorio. Esta intervención remota es especialmente valiosa en los servicios de urgencias de primer nivel de zonas rurales y periurbanas, donde el acceso presencial al internista o al neumólogo puede implicar traslados de horas y donde la demora en la estratificación correcta del riesgo puede costar la vida del paciente.</w:t>
      </w:r>
    </w:p>
    <w:p w:rsidR="00000000" w:rsidDel="00000000" w:rsidP="00000000" w:rsidRDefault="00000000" w:rsidRPr="00000000" w14:paraId="00000006">
      <w:pPr>
        <w:jc w:val="both"/>
        <w:rPr>
          <w:rFonts w:ascii="Arial" w:cs="Arial" w:eastAsia="Arial" w:hAnsi="Arial"/>
        </w:rPr>
      </w:pPr>
      <w:r w:rsidDel="00000000" w:rsidR="00000000" w:rsidRPr="00000000">
        <w:rPr>
          <w:rFonts w:ascii="Arial" w:cs="Arial" w:eastAsia="Arial" w:hAnsi="Arial"/>
          <w:rtl w:val="0"/>
        </w:rPr>
        <w:t xml:space="preserve">Este protocolo estandariza ese proceso en el marco institucional del HUN, en articulación con las guías internacionales de la Infectious Diseases Society of America (IDSA), la American Thoracic Society (ATS), la British Thoracic Society (BTS) y la normativa nacional vigente. Este documento no sustituye las Guías de Práctica Clínica nacionales e internacionales vigentes; su propósito es complementarlas y operacionalizarlas en el contexto específico de la teleexperticia institucional.</w:t>
      </w:r>
    </w:p>
    <w:p w:rsidR="00000000" w:rsidDel="00000000" w:rsidP="00000000" w:rsidRDefault="00000000" w:rsidRPr="00000000" w14:paraId="00000007">
      <w:pPr>
        <w:jc w:val="both"/>
        <w:rPr>
          <w:rFonts w:ascii="Arial" w:cs="Arial" w:eastAsia="Arial" w:hAnsi="Arial"/>
        </w:rPr>
      </w:pPr>
      <w:r w:rsidDel="00000000" w:rsidR="00000000" w:rsidRPr="00000000">
        <w:rPr>
          <w:rtl w:val="0"/>
        </w:rPr>
      </w:r>
    </w:p>
    <w:p w:rsidR="00000000" w:rsidDel="00000000" w:rsidP="00000000" w:rsidRDefault="00000000" w:rsidRPr="00000000" w14:paraId="00000008">
      <w:pPr>
        <w:jc w:val="both"/>
        <w:rPr>
          <w:rFonts w:ascii="Arial" w:cs="Arial" w:eastAsia="Arial" w:hAnsi="Arial"/>
        </w:rPr>
      </w:pPr>
      <w:r w:rsidDel="00000000" w:rsidR="00000000" w:rsidRPr="00000000">
        <w:rPr>
          <w:rtl w:val="0"/>
        </w:rPr>
      </w:r>
    </w:p>
    <w:p w:rsidR="00000000" w:rsidDel="00000000" w:rsidP="00000000" w:rsidRDefault="00000000" w:rsidRPr="00000000" w14:paraId="00000009">
      <w:pPr>
        <w:jc w:val="both"/>
        <w:rPr>
          <w:rFonts w:ascii="Arial" w:cs="Arial" w:eastAsia="Arial" w:hAnsi="Arial"/>
        </w:rPr>
      </w:pPr>
      <w:r w:rsidDel="00000000" w:rsidR="00000000" w:rsidRPr="00000000">
        <w:rPr>
          <w:rtl w:val="0"/>
        </w:rPr>
      </w:r>
    </w:p>
    <w:p w:rsidR="00000000" w:rsidDel="00000000" w:rsidP="00000000" w:rsidRDefault="00000000" w:rsidRPr="00000000" w14:paraId="0000000A">
      <w:pPr>
        <w:pStyle w:val="Heading1"/>
        <w:rPr>
          <w:rFonts w:ascii="Arial" w:cs="Arial" w:eastAsia="Arial" w:hAnsi="Arial"/>
          <w:b w:val="1"/>
          <w:bCs w:val="1"/>
        </w:rPr>
      </w:pPr>
      <w:r w:rsidDel="00000000" w:rsidR="00000000" w:rsidRPr="00000000">
        <w:rPr>
          <w:rFonts w:ascii="Arial" w:cs="Arial" w:eastAsia="Arial" w:hAnsi="Arial"/>
          <w:b w:val="1"/>
          <w:bCs w:val="1"/>
          <w:rtl w:val="0"/>
        </w:rPr>
        <w:t xml:space="preserve">2. Objetivo General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both"/>
        <w:rPr>
          <w:rFonts w:ascii="Arial" w:cs="Arial" w:eastAsia="Arial" w:hAnsi="Arial"/>
        </w:rPr>
      </w:pPr>
      <w:r w:rsidDel="00000000" w:rsidR="00000000" w:rsidRPr="00000000">
        <w:rPr>
          <w:rFonts w:ascii="Arial" w:cs="Arial" w:eastAsia="Arial" w:hAnsi="Arial"/>
          <w:rtl w:val="0"/>
        </w:rPr>
        <w:t xml:space="preserve">Estandarizar la prestación del servicio de teleexperticia sincrónica para la evaluación, la estratificación del riesgo, la selección del tratamiento antibiótico empírico y la definición de la conducta en pacientes adultos con Neumonía Adquirida en la Comunidad en instituciones de baja y mediana complejidad, garantizando una respuesta clínica oportuna, segura y basada en la evidencia que reduzca la morbimortalidad prevenible por NAC en la red de servicios del HUN.</w:t>
      </w:r>
    </w:p>
    <w:p w:rsidR="00000000" w:rsidDel="00000000" w:rsidP="00000000" w:rsidRDefault="00000000" w:rsidRPr="00000000" w14:paraId="0000000D">
      <w:pPr>
        <w:pStyle w:val="Heading1"/>
        <w:rPr>
          <w:rFonts w:ascii="Arial" w:cs="Arial" w:eastAsia="Arial" w:hAnsi="Arial"/>
          <w:b w:val="1"/>
          <w:bCs w:val="1"/>
        </w:rPr>
      </w:pPr>
      <w:r w:rsidDel="00000000" w:rsidR="00000000" w:rsidRPr="00000000">
        <w:rPr>
          <w:rFonts w:ascii="Arial" w:cs="Arial" w:eastAsia="Arial" w:hAnsi="Arial"/>
          <w:b w:val="1"/>
          <w:bCs w:val="1"/>
          <w:rtl w:val="0"/>
        </w:rPr>
        <w:t xml:space="preserve">3. Objetivos Específicos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Estandarizar la estratificación remota del riesgo de la NAC mediante las escalas PSI (Pneumonia Severity Index) y CURB-65, orientando la decisión de manejo ambulatorio, hospitalización en sala general o ingreso a Unidad de Cuidados Intensivos (UCI) según el nivel de riesgo calculado.</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Facilitar la interpretación remota de la radiografía de tórax digitalizada por el especialista referente, reduciendo la variabilidad en el reconocimiento de los patrones radiológicos que definen la extensión de la neumonía y orientan la conducta terapéutica.</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Protocolizar la selección del esquema antibiótico empírico de primera línea según la severidad del episodio, las comorbilidades del paciente, el perfil epidemiológico local y la posibilidad de microorganismos resistentes o atípicos, minimizando el uso inapropiado de antibióticos de amplio espectro en pacientes de bajo riesgo.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Establecer los criterios de estabilidad clínica para el cambio de la vía intravenosa a la oral y para el alta hospitalaria, con seguimiento por teleconsulta en los primeros 5 a 7 días del egreso.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Identificar y orientar el manejo de las complicaciones de la NAC que pueden detectarse durante el seguimiento por teleexperticia: derrame pleural paraneumónico, empiema, absceso pulmonar, síndrome de respuesta inflamatoria sistémica y falla orgánica incipiente.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Fortalecer la capacidad diagnóstica y terapéutica del médico general en el nivel primario mediante la interacción de teleexperticia como espacio de formación continua en el manejo de la NAC, reduciendo la variabilidad en la práctica clínica.</w:t>
      </w:r>
    </w:p>
    <w:p w:rsidR="00000000" w:rsidDel="00000000" w:rsidP="00000000" w:rsidRDefault="00000000" w:rsidRPr="00000000" w14:paraId="00000015">
      <w:pPr>
        <w:pStyle w:val="Heading1"/>
        <w:rPr>
          <w:rFonts w:ascii="Arial" w:cs="Arial" w:eastAsia="Arial" w:hAnsi="Arial"/>
          <w:b w:val="1"/>
          <w:bCs w:val="1"/>
        </w:rPr>
      </w:pPr>
      <w:r w:rsidDel="00000000" w:rsidR="00000000" w:rsidRPr="00000000">
        <w:rPr>
          <w:rFonts w:ascii="Arial" w:cs="Arial" w:eastAsia="Arial" w:hAnsi="Arial"/>
          <w:b w:val="1"/>
          <w:bCs w:val="1"/>
          <w:rtl w:val="0"/>
        </w:rPr>
        <w:t xml:space="preserve">4. Alcance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both"/>
        <w:rPr>
          <w:rFonts w:ascii="Arial" w:cs="Arial" w:eastAsia="Arial" w:hAnsi="Arial"/>
        </w:rPr>
      </w:pPr>
      <w:r w:rsidDel="00000000" w:rsidR="00000000" w:rsidRPr="00000000">
        <w:rPr>
          <w:rFonts w:ascii="Arial" w:cs="Arial" w:eastAsia="Arial" w:hAnsi="Arial"/>
          <w:rtl w:val="0"/>
        </w:rPr>
        <w:t xml:space="preserve">Población objeto: aplica a todo paciente adulto (mayor de 18 años) con cuadro clínico compatible con NAC — tos de inicio reciente (aguda o subaguda), fiebre, disnea, producción de esputo purulento, dolor pleurítico — con o sin confirmación radiológica en el momento de la consulta, atendido en servicios de urgencias o consulta externa de IPS de primer y segundo nivel de la red del HUN sin disponibilidad de internista, neumólogo o infectólogo presencial.</w:t>
      </w:r>
    </w:p>
    <w:p w:rsidR="00000000" w:rsidDel="00000000" w:rsidP="00000000" w:rsidRDefault="00000000" w:rsidRPr="00000000" w14:paraId="00000018">
      <w:pPr>
        <w:jc w:val="both"/>
        <w:rPr>
          <w:rFonts w:ascii="Arial" w:cs="Arial" w:eastAsia="Arial" w:hAnsi="Arial"/>
        </w:rPr>
      </w:pPr>
      <w:r w:rsidDel="00000000" w:rsidR="00000000" w:rsidRPr="00000000">
        <w:rPr>
          <w:rFonts w:ascii="Arial" w:cs="Arial" w:eastAsia="Arial" w:hAnsi="Arial"/>
          <w:rtl w:val="0"/>
        </w:rPr>
        <w:t xml:space="preserve">Alcance clínico-asistencial: comprende la teleexperticia sincrónica para la evaluación diagnóstica diferencial de la NAC, la estratificación del riesgo con PSI y CURB-65, la interpretación de la radiografía de tórax digital, la selección del esquema antibiótico empírico, la decisión de hospitalización o manejo ambulatorio, el seguimiento del paciente hospitalizado o ambulatorio en las primeras 72 horas de tratamiento, y la identificación y el manejo de las complicaciones.</w:t>
      </w:r>
    </w:p>
    <w:p w:rsidR="00000000" w:rsidDel="00000000" w:rsidP="00000000" w:rsidRDefault="00000000" w:rsidRPr="00000000" w14:paraId="00000019">
      <w:pPr>
        <w:jc w:val="both"/>
        <w:rPr>
          <w:rFonts w:ascii="Arial" w:cs="Arial" w:eastAsia="Arial" w:hAnsi="Arial"/>
        </w:rPr>
      </w:pPr>
      <w:r w:rsidDel="00000000" w:rsidR="00000000" w:rsidRPr="00000000">
        <w:rPr>
          <w:rFonts w:ascii="Arial" w:cs="Arial" w:eastAsia="Arial" w:hAnsi="Arial"/>
          <w:rtl w:val="0"/>
        </w:rPr>
        <w:t xml:space="preserve">Alcance tecnológico: se prioriza la teleconsulta por video de alta definición con posibilidad de visualización de imágenes radiológicas digitalizadas (fotografía de alta resolución de la radiografía o archivo DICOM enviado por plataforma segura). En zonas con conectividad inestable se acepta la teleexperticia por audio con descripción verbal estructurada de los hallazgos radiológicos por parte del remisor.</w:t>
      </w:r>
    </w:p>
    <w:p w:rsidR="00000000" w:rsidDel="00000000" w:rsidP="00000000" w:rsidRDefault="00000000" w:rsidRPr="00000000" w14:paraId="0000001A">
      <w:pPr>
        <w:jc w:val="both"/>
        <w:rPr>
          <w:rFonts w:ascii="Arial" w:cs="Arial" w:eastAsia="Arial" w:hAnsi="Arial"/>
        </w:rPr>
      </w:pPr>
      <w:r w:rsidDel="00000000" w:rsidR="00000000" w:rsidRPr="00000000">
        <w:rPr>
          <w:rFonts w:ascii="Arial" w:cs="Arial" w:eastAsia="Arial" w:hAnsi="Arial"/>
          <w:rtl w:val="0"/>
        </w:rPr>
        <w:t xml:space="preserve">Exclusiones: este protocolo no aplica para la neumonía asociada a la atención en salud (NAAS) ni para la neumonía asociada al ventilador (NAV), que requieren protocolos específicos de manejo hospitalario. El paciente con NAC severa que requiere ventilación mecánica debe ser remitido a UCI sin demora; la teleexperticia puede orientar la estabilización inicial pero no reemplaza el manejo intensivo presencial.</w:t>
      </w:r>
    </w:p>
    <w:p w:rsidR="00000000" w:rsidDel="00000000" w:rsidP="00000000" w:rsidRDefault="00000000" w:rsidRPr="00000000" w14:paraId="0000001B">
      <w:pPr>
        <w:pStyle w:val="Heading1"/>
        <w:rPr>
          <w:rFonts w:ascii="Arial" w:cs="Arial" w:eastAsia="Arial" w:hAnsi="Arial"/>
          <w:b w:val="1"/>
          <w:bCs w:val="1"/>
        </w:rPr>
      </w:pPr>
      <w:r w:rsidDel="00000000" w:rsidR="00000000" w:rsidRPr="00000000">
        <w:rPr>
          <w:rFonts w:ascii="Arial" w:cs="Arial" w:eastAsia="Arial" w:hAnsi="Arial"/>
          <w:b w:val="1"/>
          <w:bCs w:val="1"/>
          <w:rtl w:val="0"/>
        </w:rPr>
        <w:t xml:space="preserve">5. Marco Normativo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both"/>
        <w:rPr>
          <w:rFonts w:ascii="Arial" w:cs="Arial" w:eastAsia="Arial" w:hAnsi="Arial"/>
        </w:rPr>
      </w:pPr>
      <w:r w:rsidDel="00000000" w:rsidR="00000000" w:rsidRPr="00000000">
        <w:rPr>
          <w:rFonts w:ascii="Arial" w:cs="Arial" w:eastAsia="Arial" w:hAnsi="Arial"/>
          <w:rtl w:val="0"/>
        </w:rPr>
        <w:t xml:space="preserve">Normatividad en telesalud y telemedicina en Colombia: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Resolución 2654 de 2019 (Ministerio de Salud y Protección Social): regula la telesalud y la telemedicina en Colombia, estableciendo las disposiciones para su práctica, parámetros operativos y responsabilidades institucionales.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Resolución 3100 de 2019 (Ministerio de Salud y Protección Social): define los procedimientos y condiciones de inscripción de los Prestadores de Servicios de Salud y de habilitación de los servicios en el país.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Ley 1419 de 2010: establece los lineamientos y principios para el desarrollo de la Telesalud en Colombia.</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Ley 1581 de 2012: dicta las disposiciones generales para la protección de datos personales (Habeas Data) y el tratamiento de información sensible en salud.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Decreto 538 de 2020: adopta medidas para garantizar el acceso y la continuidad en la prestación de servicios de salud bajo modalidades de telemedicina durante emergencias sanitarias.</w:t>
      </w:r>
    </w:p>
    <w:p w:rsidR="00000000" w:rsidDel="00000000" w:rsidP="00000000" w:rsidRDefault="00000000" w:rsidRPr="00000000" w14:paraId="00000023">
      <w:pPr>
        <w:jc w:val="both"/>
        <w:rPr>
          <w:rFonts w:ascii="Arial" w:cs="Arial" w:eastAsia="Arial" w:hAnsi="Arial"/>
        </w:rPr>
      </w:pPr>
      <w:r w:rsidDel="00000000" w:rsidR="00000000" w:rsidRPr="00000000">
        <w:rPr>
          <w:rFonts w:ascii="Arial" w:cs="Arial" w:eastAsia="Arial" w:hAnsi="Arial"/>
          <w:rtl w:val="0"/>
        </w:rPr>
        <w:t xml:space="preserve">Normatividad y guías clínicas en infecciones respiratorias: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Guía de Práctica Clínica para el diagnóstico y tratamiento de la Neumonía Adquirida en la Comunidad en adultos (Ministerio de Salud y Protección Social de Colombia): referencia técnica nacional para el manejo estándar de la NAC en el sistema de salud colombiano.</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Infectious Diseases Society of America / American Thoracic Society Consensus Guidelines on the Management of Community-Acquired Pneumonia in Adults (IDSA/ATS, 2007 con actualizaciones 2019): guía internacional de referencia para la estratificación del riesgo, la selección del tratamiento antibiótico empírico y los criterios de ingreso a UCI.</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British Thoracic Society Guidelines for the Management of Community Acquired Pneumonia in Adults (BTS, 2009 con actualizaciones 2019): referencia internacional complementaria para el uso de la escala CURB-65 y los criterios de manejo ambulatorio.</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Plan Nacional de Respuesta a la Resistencia Antimicrobiana (MinSalud, 2018): marco normativo para el uso racional de antibióticos, la vigilancia de la resistencia y la implementación de programas de optimización de antimicrobianos (PROA) en las instituciones de salud colombianas.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Resolución 2063 de 2017 (MinSalud): adopta la Política Farmacéutica Nacional, que incluye el uso racional de antibióticos como componente esencial de la seguridad del paciente y de la sostenibilidad del sistema de salud.</w:t>
      </w:r>
    </w:p>
    <w:p w:rsidR="00000000" w:rsidDel="00000000" w:rsidP="00000000" w:rsidRDefault="00000000" w:rsidRPr="00000000" w14:paraId="00000029">
      <w:pPr>
        <w:pStyle w:val="Heading1"/>
        <w:rPr>
          <w:rFonts w:ascii="Arial" w:cs="Arial" w:eastAsia="Arial" w:hAnsi="Arial"/>
          <w:b w:val="1"/>
          <w:bCs w:val="1"/>
        </w:rPr>
      </w:pPr>
      <w:r w:rsidDel="00000000" w:rsidR="00000000" w:rsidRPr="00000000">
        <w:rPr>
          <w:rFonts w:ascii="Arial" w:cs="Arial" w:eastAsia="Arial" w:hAnsi="Arial"/>
          <w:b w:val="1"/>
          <w:bCs w:val="1"/>
          <w:rtl w:val="0"/>
        </w:rPr>
        <w:t xml:space="preserve">6. Definiciones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rtl w:val="0"/>
        </w:rPr>
        <w:t xml:space="preserve">Telesalud: conjunto de actividades relacionadas con la salud, servicios y métodos que se llevan a cabo a distancia con la ayuda de las tecnologías de la información y telecomunicaciones. Incluye, entre otras, la Telemedicina y la Teleeducación en salud.</w:t>
      </w:r>
    </w:p>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rtl w:val="0"/>
        </w:rPr>
        <w:t xml:space="preserve">Teleapoyo: soporte solicitado por un profesional de la salud a otro profesional de la salud a través de tecnologías de la información y comunicaciones en el marco del relacionamiento entre prestadores.</w:t>
      </w:r>
    </w:p>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rtl w:val="0"/>
        </w:rPr>
        <w:t xml:space="preserve">Teleexperticia: relación a distancia con método de comunicación sincrónico o asincrónico para la provisión de servicios de salud, utilizando tecnologías de información y comunicación entre dos profesionales de la salud para la toma de decisiones clínicas en el manejo de la NAC.</w:t>
      </w:r>
    </w:p>
    <w:p w:rsidR="00000000" w:rsidDel="00000000" w:rsidP="00000000" w:rsidRDefault="00000000" w:rsidRPr="00000000" w14:paraId="0000002E">
      <w:pPr>
        <w:jc w:val="both"/>
        <w:rPr>
          <w:rFonts w:ascii="Arial" w:cs="Arial" w:eastAsia="Arial" w:hAnsi="Arial"/>
        </w:rPr>
      </w:pPr>
      <w:r w:rsidDel="00000000" w:rsidR="00000000" w:rsidRPr="00000000">
        <w:rPr>
          <w:rFonts w:ascii="Arial" w:cs="Arial" w:eastAsia="Arial" w:hAnsi="Arial"/>
          <w:rtl w:val="0"/>
        </w:rPr>
        <w:t xml:space="preserve">Neumonía Adquirida en la Comunidad (NAC): infección aguda del parénquima pulmonar (alvéolos, bronquiolos terminales e intersticio) causada por microorganismos adquiridos fuera del entorno hospitalario (o dentro de las primeras 48 horas del ingreso hospitalario), con evidencia clínica de infección (fiebre, tos, expectoración, disnea, dolor pleurítico) y confirmación radiológica de infiltrado pulmonar nuevo en una persona que no estaba hospitalizada o en institución de cuidado crónico en las últimas 2 semanas.</w:t>
      </w:r>
    </w:p>
    <w:p w:rsidR="00000000" w:rsidDel="00000000" w:rsidP="00000000" w:rsidRDefault="00000000" w:rsidRPr="00000000" w14:paraId="0000002F">
      <w:pPr>
        <w:jc w:val="both"/>
        <w:rPr>
          <w:rFonts w:ascii="Arial" w:cs="Arial" w:eastAsia="Arial" w:hAnsi="Arial"/>
        </w:rPr>
      </w:pPr>
      <w:sdt>
        <w:sdtPr>
          <w:id w:val="-137679720"/>
          <w:tag w:val="goog_rdk_0"/>
        </w:sdtPr>
        <w:sdtContent>
          <w:r w:rsidDel="00000000" w:rsidR="00000000" w:rsidRPr="00000000">
            <w:rPr>
              <w:rFonts w:ascii="Arial Unicode MS" w:cs="Arial Unicode MS" w:eastAsia="Arial Unicode MS" w:hAnsi="Arial Unicode MS"/>
              <w:rtl w:val="0"/>
            </w:rPr>
            <w:t xml:space="preserve">Escala CURB-65: instrumento de estratificación del riesgo de mortalidad en la NAC de aplicación rápida. Evalúa cinco variables: Confusión (C) — nueva desorientación o puntaje en el Mini-Mental ≤ 8; Urea sérica (U) &gt; 7 mmol/L o nitrógeno ureico en sangre (BUN) &gt; 20 mg/dL; Frecuencia Respiratoria (R) ≥ 30 respiraciones por minuto; Presión arterial (B — Blood pressure) sistólica &lt; 90 mmHg o diastólica ≤ 60 mmHg; y edad ≥ 65 años. Puntuación 0-1: mortalidad &lt; 3%, manejo ambulatorio; 2: mortalidad 9%, hospitalización en sala general; 3-5: mortalidad 15-40%, considerar UCI.</w:t>
          </w:r>
        </w:sdtContent>
      </w:sdt>
    </w:p>
    <w:p w:rsidR="00000000" w:rsidDel="00000000" w:rsidP="00000000" w:rsidRDefault="00000000" w:rsidRPr="00000000" w14:paraId="00000030">
      <w:pPr>
        <w:jc w:val="both"/>
        <w:rPr>
          <w:rFonts w:ascii="Arial" w:cs="Arial" w:eastAsia="Arial" w:hAnsi="Arial"/>
        </w:rPr>
      </w:pPr>
      <w:r w:rsidDel="00000000" w:rsidR="00000000" w:rsidRPr="00000000">
        <w:rPr>
          <w:rFonts w:ascii="Arial" w:cs="Arial" w:eastAsia="Arial" w:hAnsi="Arial"/>
          <w:rtl w:val="0"/>
        </w:rPr>
        <w:t xml:space="preserve">Pneumonia Severity Index (PSI) — Fine Score: instrumento de estratificación del riesgo de mortalidad a 30 días en la NAC que evalúa 20 variables demográficas, de comorbilidad, clínicas y de laboratorio. Clasifica en cinco clases de riesgo: Clase I-II (&lt; 70 puntos): mortalidad &lt; 1%, manejo ambulatorio; Clase III (71-90 puntos): mortalidad 2,8%, hospitalización breve o manejo ambulatorio con seguimiento estrecho; Clase IV (91-130 puntos): mortalidad 8,2%, hospitalización; Clase V (&gt; 130 puntos): mortalidad 29,2%, hospitalización con consideración de UCI.</w:t>
      </w:r>
    </w:p>
    <w:p w:rsidR="00000000" w:rsidDel="00000000" w:rsidP="00000000" w:rsidRDefault="00000000" w:rsidRPr="00000000" w14:paraId="00000031">
      <w:pPr>
        <w:jc w:val="both"/>
        <w:rPr>
          <w:rFonts w:ascii="Arial" w:cs="Arial" w:eastAsia="Arial" w:hAnsi="Arial"/>
        </w:rPr>
      </w:pPr>
      <w:sdt>
        <w:sdtPr>
          <w:id w:val="477820456"/>
          <w:tag w:val="goog_rdk_1"/>
        </w:sdtPr>
        <w:sdtContent>
          <w:r w:rsidDel="00000000" w:rsidR="00000000" w:rsidRPr="00000000">
            <w:rPr>
              <w:rFonts w:ascii="Arial Unicode MS" w:cs="Arial Unicode MS" w:eastAsia="Arial Unicode MS" w:hAnsi="Arial Unicode MS"/>
              <w:rtl w:val="0"/>
            </w:rPr>
            <w:t xml:space="preserve">Criterios de severidad IDSA/ATS para NAC grave (criterios de UCI): presencia de al menos 1 criterio mayor o 3 criterios menores. Criterios mayores: necesidad de ventilación mecánica invasiva o shock séptico que requiere vasopresores. Criterios menores: frecuencia respiratoria ≥ 30/min, PaO2/FiO2 &lt; 250, infiltrados multilobares, confusión/desorientación, uremia (BUN &gt; 20 mg/dL), leucopenia (leucocitos &lt; 4.000/mm³), trombocitopenia (plaquetas &lt; 100.000/mm³), hipotermia (temperatura &lt; 36°C), hipotensión que requiere reanimación hídrica agresiva.</w:t>
          </w:r>
        </w:sdtContent>
      </w:sdt>
    </w:p>
    <w:p w:rsidR="00000000" w:rsidDel="00000000" w:rsidP="00000000" w:rsidRDefault="00000000" w:rsidRPr="00000000" w14:paraId="00000032">
      <w:pPr>
        <w:jc w:val="both"/>
        <w:rPr>
          <w:rFonts w:ascii="Arial" w:cs="Arial" w:eastAsia="Arial" w:hAnsi="Arial"/>
        </w:rPr>
      </w:pPr>
      <w:r w:rsidDel="00000000" w:rsidR="00000000" w:rsidRPr="00000000">
        <w:rPr>
          <w:rFonts w:ascii="Arial" w:cs="Arial" w:eastAsia="Arial" w:hAnsi="Arial"/>
          <w:rtl w:val="0"/>
        </w:rPr>
        <w:t xml:space="preserve">Patógenos típicos de la NAC: microorganismos que producen síntomas de inicio más abrupto, con consolidación lobar en la radiografía. El más frecuente es el Streptococcus pneumoniae (neumococo), principal causa de NAC bacteriana en todas las edades. Otros patógenos típicos incluyen Haemophilus influenzae (frecuente en EPOC), Staphylococcus aureus (post-influenza, usuarios de drogas IV, infección severa) y bacilos Gram negativos entéricos (Klebsiella pneumoniae — especialmente en alcohólicos y diabéticos).</w:t>
      </w:r>
    </w:p>
    <w:p w:rsidR="00000000" w:rsidDel="00000000" w:rsidP="00000000" w:rsidRDefault="00000000" w:rsidRPr="00000000" w14:paraId="00000033">
      <w:pPr>
        <w:jc w:val="both"/>
        <w:rPr>
          <w:rFonts w:ascii="Arial" w:cs="Arial" w:eastAsia="Arial" w:hAnsi="Arial"/>
        </w:rPr>
      </w:pPr>
      <w:r w:rsidDel="00000000" w:rsidR="00000000" w:rsidRPr="00000000">
        <w:rPr>
          <w:rFonts w:ascii="Arial" w:cs="Arial" w:eastAsia="Arial" w:hAnsi="Arial"/>
          <w:rtl w:val="0"/>
        </w:rPr>
        <w:t xml:space="preserve">Patógenos atípicos de la NAC: microorganismos intracelulares que no son visibles con la tinción de Gram y no responden a los betalactámicos. Incluyen Mycoplasma pneumoniae (adultos jóvenes, inicio gradual, síntomas extrapulmonares), Chlamydophila pneumoniae (adultos mayores, presentación insidiosa) y Legionella pneumophila (exposición a sistemas de agua o aire acondicionado, enfermedad más grave, hiponatremia característica).</w:t>
      </w:r>
    </w:p>
    <w:p w:rsidR="00000000" w:rsidDel="00000000" w:rsidP="00000000" w:rsidRDefault="00000000" w:rsidRPr="00000000" w14:paraId="00000034">
      <w:pPr>
        <w:jc w:val="both"/>
        <w:rPr>
          <w:rFonts w:ascii="Arial" w:cs="Arial" w:eastAsia="Arial" w:hAnsi="Arial"/>
        </w:rPr>
      </w:pPr>
      <w:sdt>
        <w:sdtPr>
          <w:id w:val="425239014"/>
          <w:tag w:val="goog_rdk_2"/>
        </w:sdtPr>
        <w:sdtContent>
          <w:r w:rsidDel="00000000" w:rsidR="00000000" w:rsidRPr="00000000">
            <w:rPr>
              <w:rFonts w:ascii="Arial Unicode MS" w:cs="Arial Unicode MS" w:eastAsia="Arial Unicode MS" w:hAnsi="Arial Unicode MS"/>
              <w:rtl w:val="0"/>
            </w:rPr>
            <w:t xml:space="preserve">Criterios de estabilidad clínica (switch IV a oral y criterios de alta): temperatura ≤ 37,8°C; frecuencia cardíaca ≤ 100 lpm; frecuencia respiratoria ≤ 24/min; presión arterial sistólica ≥ 90 mmHg; saturación de O2 ≥ 90% (o PaO2 ≥ 60 mmHg) con o sin oxígeno suplementario; capacidad de ingesta oral; y estado mental normal. El paciente que cumple estos criterios por más de 24 horas puede ser candidato al switch IV-oral y a la planificación del alta.</w:t>
          </w:r>
        </w:sdtContent>
      </w:sdt>
    </w:p>
    <w:p w:rsidR="00000000" w:rsidDel="00000000" w:rsidP="00000000" w:rsidRDefault="00000000" w:rsidRPr="00000000" w14:paraId="00000035">
      <w:pPr>
        <w:jc w:val="both"/>
        <w:rPr>
          <w:rFonts w:ascii="Arial" w:cs="Arial" w:eastAsia="Arial" w:hAnsi="Arial"/>
        </w:rPr>
      </w:pPr>
      <w:r w:rsidDel="00000000" w:rsidR="00000000" w:rsidRPr="00000000">
        <w:rPr>
          <w:rFonts w:ascii="Arial" w:cs="Arial" w:eastAsia="Arial" w:hAnsi="Arial"/>
          <w:rtl w:val="0"/>
        </w:rPr>
        <w:t xml:space="preserve">Farmacología crítica del protocolo:</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Amoxicilina 500-1000 mg vía oral cada 8 horas por 5-7 días: primera línea para NAC leve (CURB-65 0-1 o PSI clase I-II) sin comorbilidades ni factores de riesgo para microorganismos atípicos. Cubre adecuadamente el neumococo. Alternativa: amoxicilina-clavulanato 875/125 mg cada 12 horas si hay riesgo de Haemophilus influenzae (EPOC, tabaquismo activo).</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Azitromicina 500 mg vía oral el día 1, luego 250 mg días 2-5: primera línea en NAC leve en paciente joven sin comorbilidades cuando se sospecha etiología atípica (Mycoplasma, Chlamydophila). En monoterapia solo para pacientes sin comorbilidades significativas.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Amoxicilina-clavulanato más azitromicina (terapia combinada): para NAC moderada (CURB-65 2 o PSI clase III) con manejo ambulatorio, cuando se quiere cubrir tanto típicos como atípicos.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Ampicilina-sulbactam 1,5-3 g IV cada 6-8 horas más azitromicina 500 mg IV/oral: primera línea para NAC moderada que requiere hospitalización en sala general (CURB-65 2-3 o PSI clase IV). Cubre neumococo, Haemophilus y algunos Gram negativos.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Piperacilina-tazobactam 4,5 g IV cada 6-8 horas más azitromicina o levofloxacina: para NAC severa sin criterios de Pseudomonas, o con factores de riesgo para Gram negativos (EPOC severo, bronquiectasias, uso reciente de antibióticos).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Levofloxacina 750 mg IV/oral cada 24 horas o moxifloxacina 400 mg IV/oral cada 24 horas: fluoroquinolonas respiratorias para NAC moderada a severa como monoterapia alternativa o en pacientes alérgicos a betalactámicos. Cubren neumococo, atípicos y algunos Gram negativos. Evitar en pacientes con riesgo de prolongación del QTc.</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Vancomicina 15-20 mg/kg IV cada 8-12 horas o linezolid 600 mg IV cada 12 horas: añadir ante sospecha de Staphylococcus aureus meticilino-resistente (SAMR) — pacientes con influenza reciente, usuarios de drogas IV, infección cutánea previa, cavitación en la radiografía.</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Oseltamivir 75 mg vía oral cada 12 horas por 5 días: indicado ante NAC en período de circulación activa de influenza (especialmente semanas 40-20 del año) o ante cuadro clínico sugestivo de influenza complicada, independientemente del resultado de la prueba rápida si hay alta sospecha clínica.</w:t>
      </w:r>
    </w:p>
    <w:p w:rsidR="00000000" w:rsidDel="00000000" w:rsidP="00000000" w:rsidRDefault="00000000" w:rsidRPr="00000000" w14:paraId="0000003E">
      <w:pPr>
        <w:pStyle w:val="Heading1"/>
        <w:rPr>
          <w:rFonts w:ascii="Arial" w:cs="Arial" w:eastAsia="Arial" w:hAnsi="Arial"/>
          <w:b w:val="1"/>
          <w:bCs w:val="1"/>
        </w:rPr>
      </w:pPr>
      <w:r w:rsidDel="00000000" w:rsidR="00000000" w:rsidRPr="00000000">
        <w:rPr>
          <w:rFonts w:ascii="Arial" w:cs="Arial" w:eastAsia="Arial" w:hAnsi="Arial"/>
          <w:b w:val="1"/>
          <w:bCs w:val="1"/>
          <w:rtl w:val="0"/>
        </w:rPr>
        <w:t xml:space="preserve">7. Flujo Operativo y Clínico en Telesalud</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8"/>
        <w:gridCol w:w="2047"/>
        <w:gridCol w:w="1922"/>
        <w:gridCol w:w="2871"/>
        <w:tblGridChange w:id="0">
          <w:tblGrid>
            <w:gridCol w:w="1988"/>
            <w:gridCol w:w="2047"/>
            <w:gridCol w:w="1922"/>
            <w:gridCol w:w="2871"/>
          </w:tblGrid>
        </w:tblGridChange>
      </w:tblGrid>
      <w:tr>
        <w:trPr>
          <w:cantSplit w:val="0"/>
          <w:tblHeader w:val="0"/>
        </w:trPr>
        <w:tc>
          <w:tcPr/>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b w:val="1"/>
                <w:bCs w:val="1"/>
                <w:sz w:val="18"/>
                <w:szCs w:val="18"/>
                <w:rtl w:val="0"/>
              </w:rPr>
              <w:t xml:space="preserve">Etapa</w:t>
            </w:r>
            <w:r w:rsidDel="00000000" w:rsidR="00000000" w:rsidRPr="00000000">
              <w:rPr>
                <w:rtl w:val="0"/>
              </w:rPr>
            </w:r>
          </w:p>
        </w:tc>
        <w:tc>
          <w:tcPr/>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b w:val="1"/>
                <w:bCs w:val="1"/>
                <w:sz w:val="18"/>
                <w:szCs w:val="18"/>
                <w:rtl w:val="0"/>
              </w:rPr>
              <w:t xml:space="preserve">Actividad</w:t>
            </w:r>
            <w:r w:rsidDel="00000000" w:rsidR="00000000" w:rsidRPr="00000000">
              <w:rPr>
                <w:rtl w:val="0"/>
              </w:rPr>
            </w:r>
          </w:p>
        </w:tc>
        <w:tc>
          <w:tcPr/>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b w:val="1"/>
                <w:bCs w:val="1"/>
                <w:sz w:val="18"/>
                <w:szCs w:val="18"/>
                <w:rtl w:val="0"/>
              </w:rPr>
              <w:t xml:space="preserve">Responsable</w:t>
            </w:r>
            <w:r w:rsidDel="00000000" w:rsidR="00000000" w:rsidRPr="00000000">
              <w:rPr>
                <w:rtl w:val="0"/>
              </w:rPr>
            </w:r>
          </w:p>
        </w:tc>
        <w:tc>
          <w:tcPr/>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b w:val="1"/>
                <w:bCs w:val="1"/>
                <w:sz w:val="18"/>
                <w:szCs w:val="18"/>
                <w:rtl w:val="0"/>
              </w:rPr>
              <w:t xml:space="preserve">Acción / Canales</w:t>
            </w:r>
            <w:r w:rsidDel="00000000" w:rsidR="00000000" w:rsidRPr="00000000">
              <w:rPr>
                <w:rtl w:val="0"/>
              </w:rPr>
            </w:r>
          </w:p>
        </w:tc>
      </w:tr>
      <w:tr>
        <w:trPr>
          <w:cantSplit w:val="0"/>
          <w:tblHeader w:val="0"/>
        </w:trPr>
        <w:tc>
          <w:tcPr/>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sz w:val="18"/>
                <w:szCs w:val="18"/>
                <w:rtl w:val="0"/>
              </w:rPr>
              <w:t xml:space="preserve">1. Identificación y medidas inmediatas</w:t>
            </w:r>
            <w:r w:rsidDel="00000000" w:rsidR="00000000" w:rsidRPr="00000000">
              <w:rPr>
                <w:rtl w:val="0"/>
              </w:rPr>
            </w:r>
          </w:p>
        </w:tc>
        <w:tc>
          <w:tcPr/>
          <w:p w:rsidR="00000000" w:rsidDel="00000000" w:rsidP="00000000" w:rsidRDefault="00000000" w:rsidRPr="00000000" w14:paraId="00000044">
            <w:pPr>
              <w:rPr>
                <w:rFonts w:ascii="Arial" w:cs="Arial" w:eastAsia="Arial" w:hAnsi="Arial"/>
              </w:rPr>
            </w:pPr>
            <w:sdt>
              <w:sdtPr>
                <w:id w:val="-282052861"/>
                <w:tag w:val="goog_rdk_3"/>
              </w:sdtPr>
              <w:sdtContent>
                <w:r w:rsidDel="00000000" w:rsidR="00000000" w:rsidRPr="00000000">
                  <w:rPr>
                    <w:rFonts w:ascii="Arial Unicode MS" w:cs="Arial Unicode MS" w:eastAsia="Arial Unicode MS" w:hAnsi="Arial Unicode MS"/>
                    <w:sz w:val="18"/>
                    <w:szCs w:val="18"/>
                    <w:rtl w:val="0"/>
                  </w:rPr>
                  <w:t xml:space="preserve">Identificar al paciente con cuadro clínico compatible con NAC: tos de inicio reciente con o sin expectoración purulenta, fiebre (temperatura ≥ 38°C), disnea, dolor pleurítico, con o sin radiografía disponible. Aplicar de forma inmediata y autónoma las medidas de soporte: posición semisentada, oxígeno suplementario si SatO2 &lt; 92% (meta: SatO2 92-96%), canalización de acceso venoso periférico en casos moderados a severos, toma de signos vitales completos, glucemia capilar, y aplicar la escala CURB-65 de forma autónoma para la clasificación inicial del riesgo. En CURB-65 ≥ 3 o presencia de criterios de severidad IDSA/ATS: activar la teleexperticia de forma inmediata y preparar la remisión a UCI o nivel de mayor complejidad de forma simultánea.</w:t>
                </w:r>
              </w:sdtContent>
            </w:sdt>
            <w:r w:rsidDel="00000000" w:rsidR="00000000" w:rsidRPr="00000000">
              <w:rPr>
                <w:rtl w:val="0"/>
              </w:rPr>
            </w:r>
          </w:p>
        </w:tc>
        <w:tc>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sz w:val="18"/>
                <w:szCs w:val="18"/>
                <w:rtl w:val="0"/>
              </w:rPr>
              <w:t xml:space="preserve">Profesional asistencial presencial (médico general, urgencias)</w:t>
            </w:r>
            <w:r w:rsidDel="00000000" w:rsidR="00000000" w:rsidRPr="00000000">
              <w:rPr>
                <w:rtl w:val="0"/>
              </w:rPr>
            </w:r>
          </w:p>
        </w:tc>
        <w:tc>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sz w:val="18"/>
                <w:szCs w:val="18"/>
                <w:rtl w:val="0"/>
              </w:rPr>
              <w:t xml:space="preserve">El médico general puede y debe iniciar el antibiótico de primera línea de forma autónoma en NAC leve (CURB-65 0-1) sin necesidad de esperar la teleexperticia. La primera dosis del antibiótico no debe demorarse más de 4 horas desde la confirmación diagnóstica — este es el indicador de calidad más importante en el manejo de la NAC.</w:t>
            </w:r>
            <w:r w:rsidDel="00000000" w:rsidR="00000000" w:rsidRPr="00000000">
              <w:rPr>
                <w:rtl w:val="0"/>
              </w:rPr>
            </w:r>
          </w:p>
        </w:tc>
      </w:tr>
      <w:tr>
        <w:trPr>
          <w:cantSplit w:val="0"/>
          <w:tblHeader w:val="0"/>
        </w:trPr>
        <w:tc>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sz w:val="18"/>
                <w:szCs w:val="18"/>
                <w:rtl w:val="0"/>
              </w:rPr>
              <w:t xml:space="preserve">2. Verificación y consentimiento</w:t>
            </w:r>
            <w:r w:rsidDel="00000000" w:rsidR="00000000" w:rsidRPr="00000000">
              <w:rPr>
                <w:rtl w:val="0"/>
              </w:rPr>
            </w:r>
          </w:p>
        </w:tc>
        <w:tc>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sz w:val="18"/>
                <w:szCs w:val="18"/>
                <w:rtl w:val="0"/>
              </w:rPr>
              <w:t xml:space="preserve">Confirmar la identidad del paciente, sus antecedentes de alergias a antibióticos, comorbilidades relevantes (diabetes mellitus, EPOC, insuficiencia cardíaca, inmunosupresión, alcoholismo crónico, institucionalización reciente) y medicación actual. Obtener el consentimiento informado para la atención por telemedicina. Verificar la disponibilidad de la radiografía de tórax: si está disponible en formato digital (archivo DICOM o fotografía de alta resolución), preparar el envío al especialista referente antes de la conexión.</w:t>
            </w:r>
            <w:r w:rsidDel="00000000" w:rsidR="00000000" w:rsidRPr="00000000">
              <w:rPr>
                <w:rtl w:val="0"/>
              </w:rPr>
            </w:r>
          </w:p>
        </w:tc>
        <w:tc>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sz w:val="18"/>
                <w:szCs w:val="18"/>
                <w:rtl w:val="0"/>
              </w:rPr>
              <w:t xml:space="preserve">Centro Remisor / Profesional solicitante</w:t>
            </w:r>
            <w:r w:rsidDel="00000000" w:rsidR="00000000" w:rsidRPr="00000000">
              <w:rPr>
                <w:rtl w:val="0"/>
              </w:rPr>
            </w:r>
          </w:p>
        </w:tc>
        <w:tc>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sz w:val="18"/>
                <w:szCs w:val="18"/>
                <w:rtl w:val="0"/>
              </w:rPr>
              <w:t xml:space="preserve">Organizar la información bajo el modelo SBAR: situación actual (síntomas, tiempo de evolución, signos vitales, SatO2), antecedentes relevantes (comorbilidades, alergias, hospitalización reciente, uso previo de antibióticos), evaluación (puntaje CURB-65, resultados de laboratorio disponibles, descripción de la radiografía), y conducta solicitada.</w:t>
            </w:r>
            <w:r w:rsidDel="00000000" w:rsidR="00000000" w:rsidRPr="00000000">
              <w:rPr>
                <w:rtl w:val="0"/>
              </w:rPr>
            </w:r>
          </w:p>
        </w:tc>
      </w:tr>
      <w:tr>
        <w:trPr>
          <w:cantSplit w:val="0"/>
          <w:tblHeader w:val="0"/>
        </w:trPr>
        <w:tc>
          <w:tcPr/>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sz w:val="18"/>
                <w:szCs w:val="18"/>
                <w:rtl w:val="0"/>
              </w:rPr>
              <w:t xml:space="preserve">3. Diligenciamiento y envío de datos</w:t>
            </w:r>
            <w:r w:rsidDel="00000000" w:rsidR="00000000" w:rsidRPr="00000000">
              <w:rPr>
                <w:rtl w:val="0"/>
              </w:rPr>
            </w:r>
          </w:p>
        </w:tc>
        <w:tc>
          <w:tcPr/>
          <w:p w:rsidR="00000000" w:rsidDel="00000000" w:rsidP="00000000" w:rsidRDefault="00000000" w:rsidRPr="00000000" w14:paraId="0000004C">
            <w:pPr>
              <w:rPr>
                <w:rFonts w:ascii="Arial" w:cs="Arial" w:eastAsia="Arial" w:hAnsi="Arial"/>
              </w:rPr>
            </w:pPr>
            <w:sdt>
              <w:sdtPr>
                <w:id w:val="-1144778429"/>
                <w:tag w:val="goog_rdk_4"/>
              </w:sdtPr>
              <w:sdtContent>
                <w:r w:rsidDel="00000000" w:rsidR="00000000" w:rsidRPr="00000000">
                  <w:rPr>
                    <w:rFonts w:ascii="Arial Unicode MS" w:cs="Arial Unicode MS" w:eastAsia="Arial Unicode MS" w:hAnsi="Arial Unicode MS"/>
                    <w:sz w:val="18"/>
                    <w:szCs w:val="18"/>
                    <w:rtl w:val="0"/>
                  </w:rPr>
                  <w:t xml:space="preserve">Notificar al centro referente: signos vitales completos, SatO2 con y sin oxígeno, puntaje CURB-65, resultados de laboratorio disponibles (hemograma, PCR, creatinina, glucemia, sodio, BUN), descripción o imagen de la radiografía de tórax, comorbilidades, alergias a antibióticos y medicación actual. Clasificar la solicitud según prioridad: urgente (CURB-65 ≥ 3 o criterios de severidad) o prioritaria (CURB-65 1-2).</w:t>
                </w:r>
              </w:sdtContent>
            </w:sdt>
            <w:r w:rsidDel="00000000" w:rsidR="00000000" w:rsidRPr="00000000">
              <w:rPr>
                <w:rtl w:val="0"/>
              </w:rPr>
            </w:r>
          </w:p>
        </w:tc>
        <w:tc>
          <w:tcPr/>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sz w:val="18"/>
                <w:szCs w:val="18"/>
                <w:rtl w:val="0"/>
              </w:rPr>
              <w:t xml:space="preserve">Profesional solicitante</w:t>
            </w:r>
            <w:r w:rsidDel="00000000" w:rsidR="00000000" w:rsidRPr="00000000">
              <w:rPr>
                <w:rtl w:val="0"/>
              </w:rPr>
            </w:r>
          </w:p>
        </w:tc>
        <w:tc>
          <w:tcPr/>
          <w:p w:rsidR="00000000" w:rsidDel="00000000" w:rsidP="00000000" w:rsidRDefault="00000000" w:rsidRPr="00000000" w14:paraId="0000004E">
            <w:pPr>
              <w:rPr>
                <w:rFonts w:ascii="Arial" w:cs="Arial" w:eastAsia="Arial" w:hAnsi="Arial"/>
              </w:rPr>
            </w:pPr>
            <w:sdt>
              <w:sdtPr>
                <w:id w:val="764173836"/>
                <w:tag w:val="goog_rdk_5"/>
              </w:sdtPr>
              <w:sdtContent>
                <w:r w:rsidDel="00000000" w:rsidR="00000000" w:rsidRPr="00000000">
                  <w:rPr>
                    <w:rFonts w:ascii="Arial Unicode MS" w:cs="Arial Unicode MS" w:eastAsia="Arial Unicode MS" w:hAnsi="Arial Unicode MS"/>
                    <w:sz w:val="18"/>
                    <w:szCs w:val="18"/>
                    <w:rtl w:val="0"/>
                  </w:rPr>
                  <w:t xml:space="preserve">Canales corporativos: líneas 3228234549 y 3228234532 — correo telemedicina.digital@hun.edu.co. Tiempo de conexión esperado: &lt; 10 minutos para NAC severa (CURB-65 ≥ 3 o criterios de UCI); &lt; 30 minutos para NAC moderada (CURB-65 2); &lt; 2 horas para NAC leve con duda diagnóstica o de manejo.</w:t>
                </w:r>
              </w:sdtContent>
            </w:sdt>
            <w:r w:rsidDel="00000000" w:rsidR="00000000" w:rsidRPr="00000000">
              <w:rPr>
                <w:rtl w:val="0"/>
              </w:rPr>
            </w:r>
          </w:p>
        </w:tc>
      </w:tr>
      <w:tr>
        <w:trPr>
          <w:cantSplit w:val="0"/>
          <w:tblHeader w:val="0"/>
        </w:trPr>
        <w:tc>
          <w:tcPr/>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sz w:val="18"/>
                <w:szCs w:val="18"/>
                <w:rtl w:val="0"/>
              </w:rPr>
              <w:t xml:space="preserve">4. Recepción y validación</w:t>
            </w:r>
            <w:r w:rsidDel="00000000" w:rsidR="00000000" w:rsidRPr="00000000">
              <w:rPr>
                <w:rtl w:val="0"/>
              </w:rPr>
            </w:r>
          </w:p>
        </w:tc>
        <w:tc>
          <w:tcPr/>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sz w:val="18"/>
                <w:szCs w:val="18"/>
                <w:rtl w:val="0"/>
              </w:rPr>
              <w:t xml:space="preserve">Recibir la información clínica, clasificar la prioridad, establecer el enlace sincrónico de video y registrar la apertura del caso en Hosvital. El especialista referente solicita al remisor que posicione la cámara para visualizar al paciente (patrón respiratorio, uso de músculos accesorios, coloración de piel y mucosas) e interpreta la imagen de la radiografía de tórax enviada digitalmente.</w:t>
            </w:r>
            <w:r w:rsidDel="00000000" w:rsidR="00000000" w:rsidRPr="00000000">
              <w:rPr>
                <w:rtl w:val="0"/>
              </w:rPr>
            </w:r>
          </w:p>
        </w:tc>
        <w:tc>
          <w:tcPr/>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sz w:val="18"/>
                <w:szCs w:val="18"/>
                <w:rtl w:val="0"/>
              </w:rPr>
              <w:t xml:space="preserve">Centro Referente / Especialista referente (internista, neumólogo o infectólogo)</w:t>
            </w:r>
            <w:r w:rsidDel="00000000" w:rsidR="00000000" w:rsidRPr="00000000">
              <w:rPr>
                <w:rtl w:val="0"/>
              </w:rPr>
            </w:r>
          </w:p>
        </w:tc>
        <w:tc>
          <w:tcPr/>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sz w:val="18"/>
                <w:szCs w:val="18"/>
                <w:rtl w:val="0"/>
              </w:rPr>
              <w:t xml:space="preserve">Cargue y apertura de caso en Hosvital. El especialista evalúa directamente por video el estado respiratorio del paciente — frecuencia respiratoria, tiraje intercostal, uso de músculos accesorios, cianosis — como complemento indispensable a los datos enviados por el remisor.</w:t>
            </w:r>
            <w:r w:rsidDel="00000000" w:rsidR="00000000" w:rsidRPr="00000000">
              <w:rPr>
                <w:rtl w:val="0"/>
              </w:rPr>
            </w:r>
          </w:p>
        </w:tc>
      </w:tr>
      <w:tr>
        <w:trPr>
          <w:cantSplit w:val="0"/>
          <w:tblHeader w:val="0"/>
        </w:trPr>
        <w:tc>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sz w:val="18"/>
                <w:szCs w:val="18"/>
                <w:rtl w:val="0"/>
              </w:rPr>
              <w:t xml:space="preserve">5. Análisis y concepto clínico</w:t>
            </w:r>
            <w:r w:rsidDel="00000000" w:rsidR="00000000" w:rsidRPr="00000000">
              <w:rPr>
                <w:rtl w:val="0"/>
              </w:rPr>
            </w:r>
          </w:p>
        </w:tc>
        <w:tc>
          <w:tcPr/>
          <w:p w:rsidR="00000000" w:rsidDel="00000000" w:rsidP="00000000" w:rsidRDefault="00000000" w:rsidRPr="00000000" w14:paraId="00000054">
            <w:pPr>
              <w:rPr>
                <w:rFonts w:ascii="Arial" w:cs="Arial" w:eastAsia="Arial" w:hAnsi="Arial"/>
              </w:rPr>
            </w:pPr>
            <w:sdt>
              <w:sdtPr>
                <w:id w:val="759093036"/>
                <w:tag w:val="goog_rdk_6"/>
              </w:sdtPr>
              <w:sdtContent>
                <w:r w:rsidDel="00000000" w:rsidR="00000000" w:rsidRPr="00000000">
                  <w:rPr>
                    <w:rFonts w:ascii="Arial Unicode MS" w:cs="Arial Unicode MS" w:eastAsia="Arial Unicode MS" w:hAnsi="Arial Unicode MS"/>
                    <w:sz w:val="18"/>
                    <w:szCs w:val="18"/>
                    <w:rtl w:val="0"/>
                  </w:rPr>
                  <w:t xml:space="preserve">El especialista realiza la evaluación clínica remota completa: validación del diagnóstico de NAC, cálculo y validación del puntaje PSI y CURB-65, interpretación de la radiografía de tórax digital (patrón de consolidación, extensión lobar o multilobar, presencia de derrame pleural, cavitación, patología preexistente), identificación de factores de riesgo para microorganismos resistentes o atípicos, y definición de la conducta: manejo ambulatorio con seguimiento por teleconsulta (CURB-65 0-1, PSI I-II, SatO2 ≥ 94%), hospitalización en sala general (CURB-65 2, PSI III-IV), o remisión urgente a UCI (CURB-65 ≥ 3, criterios de severidad IDSA/ATS). Prescribe el esquema antibiótico empírico optimizado según el nivel de riesgo, las comorbilidades y el perfil epidemiológico local.</w:t>
                </w:r>
              </w:sdtContent>
            </w:sdt>
            <w:r w:rsidDel="00000000" w:rsidR="00000000" w:rsidRPr="00000000">
              <w:rPr>
                <w:rtl w:val="0"/>
              </w:rPr>
            </w:r>
          </w:p>
        </w:tc>
        <w:tc>
          <w:tcPr/>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sz w:val="18"/>
                <w:szCs w:val="18"/>
                <w:rtl w:val="0"/>
              </w:rPr>
              <w:t xml:space="preserve">Especialista referente / Profesional solicitante</w:t>
            </w:r>
            <w:r w:rsidDel="00000000" w:rsidR="00000000" w:rsidRPr="00000000">
              <w:rPr>
                <w:rtl w:val="0"/>
              </w:rPr>
            </w:r>
          </w:p>
        </w:tc>
        <w:tc>
          <w:tcPr/>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sz w:val="18"/>
                <w:szCs w:val="18"/>
                <w:rtl w:val="0"/>
              </w:rPr>
              <w:t xml:space="preserve">Historia clínica Hosvital. El especialista permanece conectado hasta que el esquema terapéutico esté prescrito, la primera dosis administrada o en proceso, y la conducta de remisión activada si aplica. Ante derrame pleural significativo identificado en la radiografía: orientar la evaluación ecográfica si está disponible y definir la conducta sobre la toracocentesis diagnóstica.</w:t>
            </w:r>
            <w:r w:rsidDel="00000000" w:rsidR="00000000" w:rsidRPr="00000000">
              <w:rPr>
                <w:rtl w:val="0"/>
              </w:rPr>
            </w:r>
          </w:p>
        </w:tc>
      </w:tr>
      <w:tr>
        <w:trPr>
          <w:cantSplit w:val="0"/>
          <w:tblHeader w:val="0"/>
        </w:trPr>
        <w:tc>
          <w:tcPr/>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sz w:val="18"/>
                <w:szCs w:val="18"/>
                <w:rtl w:val="0"/>
              </w:rPr>
              <w:t xml:space="preserve">6. Envío de ordenamiento y cierre</w:t>
            </w:r>
            <w:r w:rsidDel="00000000" w:rsidR="00000000" w:rsidRPr="00000000">
              <w:rPr>
                <w:rtl w:val="0"/>
              </w:rPr>
            </w:r>
          </w:p>
        </w:tc>
        <w:tc>
          <w:tcPr/>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sz w:val="18"/>
                <w:szCs w:val="18"/>
                <w:rtl w:val="0"/>
              </w:rPr>
              <w:t xml:space="preserve">Consolidar por escrito el concepto clínico: diagnóstico, puntaje CURB-65 y PSI calculados, patrón radiológico descrito, esquema antibiótico prescrito con dosis, vía, intervalo y duración, conducta (ambulatorio con seguimiento / hospitalización / remisión a UCI), paraclínicos adicionales solicitados (hemocultivos antes del antibiótico en NAC moderada a severa, antígenos urinarios de Legionella y neumococo en NAC severa, hisopado para influenza en temporada), y plan de seguimiento (teleconsulta a las 48-72 horas para evaluación de la respuesta clínica en pacientes ambulatorios; evaluación de criterios de estabilidad en hospitalarios). Registrar obligatoriamente en ambos sistemas.</w:t>
            </w:r>
            <w:r w:rsidDel="00000000" w:rsidR="00000000" w:rsidRPr="00000000">
              <w:rPr>
                <w:rtl w:val="0"/>
              </w:rPr>
            </w:r>
          </w:p>
        </w:tc>
        <w:tc>
          <w:tcPr/>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sz w:val="18"/>
                <w:szCs w:val="18"/>
                <w:rtl w:val="0"/>
              </w:rPr>
              <w:t xml:space="preserve">Especialista referente y Centro Remisor</w:t>
            </w:r>
            <w:r w:rsidDel="00000000" w:rsidR="00000000" w:rsidRPr="00000000">
              <w:rPr>
                <w:rtl w:val="0"/>
              </w:rPr>
            </w:r>
          </w:p>
        </w:tc>
        <w:tc>
          <w:tcPr/>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sz w:val="18"/>
                <w:szCs w:val="18"/>
                <w:rtl w:val="0"/>
              </w:rPr>
              <w:t xml:space="preserve">A través de correo corporativo e historia clínica. La sesión no se cierra hasta confirmar la conducta y la primera dosis del antibiótico. En pacientes ambulatorios, registrar el número de contacto para la teleconsulta de seguimiento a las 48-72 horas.</w:t>
            </w:r>
            <w:r w:rsidDel="00000000" w:rsidR="00000000" w:rsidRPr="00000000">
              <w:rPr>
                <w:rtl w:val="0"/>
              </w:rPr>
            </w:r>
          </w:p>
        </w:tc>
      </w:tr>
    </w:tbl>
    <w:p w:rsidR="00000000" w:rsidDel="00000000" w:rsidP="00000000" w:rsidRDefault="00000000" w:rsidRPr="00000000" w14:paraId="0000005B">
      <w:pPr>
        <w:pStyle w:val="Heading1"/>
        <w:rPr>
          <w:rFonts w:ascii="Arial" w:cs="Arial" w:eastAsia="Arial" w:hAnsi="Arial"/>
          <w:b w:val="1"/>
          <w:bCs w:val="1"/>
        </w:rPr>
      </w:pPr>
      <w:r w:rsidDel="00000000" w:rsidR="00000000" w:rsidRPr="00000000">
        <w:rPr>
          <w:rFonts w:ascii="Arial" w:cs="Arial" w:eastAsia="Arial" w:hAnsi="Arial"/>
          <w:b w:val="1"/>
          <w:bCs w:val="1"/>
          <w:rtl w:val="0"/>
        </w:rPr>
        <w:t xml:space="preserve">8. Criterios de Inclusión / Exclusión en Telesalud</w:t>
      </w:r>
    </w:p>
    <w:p w:rsidR="00000000" w:rsidDel="00000000" w:rsidP="00000000" w:rsidRDefault="00000000" w:rsidRPr="00000000" w14:paraId="0000005C">
      <w:pPr>
        <w:pStyle w:val="Heading3"/>
        <w:rPr>
          <w:rFonts w:ascii="Arial" w:cs="Arial" w:eastAsia="Arial" w:hAnsi="Arial"/>
        </w:rPr>
      </w:pPr>
      <w:r w:rsidDel="00000000" w:rsidR="00000000" w:rsidRPr="00000000">
        <w:rPr>
          <w:rFonts w:ascii="Arial" w:cs="Arial" w:eastAsia="Arial" w:hAnsi="Arial"/>
          <w:rtl w:val="0"/>
        </w:rPr>
        <w:t xml:space="preserve">Criterios de Inclusión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Todo paciente adulto mayor de 18 años con diagnóstico clínico o clínico-radiológico de NAC en IPS de primer o segundo nivel sin disponibilidad de internista, neumólogo o infectólogo presencial.</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NAC leve (CURB-65 0-1 o PSI clase I-II) con duda en la selección del esquema antibiótico, presencia de alergias, comorbilidades relevantes o paciente que no mejora a las 48-72 horas del tratamiento empírico inicial.</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NAC moderada (CURB-65 2 o PSI clase III-IV) para validación del esquema antibiótico, decisión de hospitalización y plan de seguimiento.</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NAC en paciente inmunocomprometido (VIH con CD4 &lt; 200, trasplante de órgano sólido, quimioterapia activa, uso crónico de corticosteroides) para evaluación de patógenos oportunistas (Pneumocystis jirovecii, hongos, micobacterias) y esquema antibiótico ampliado.</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Falla al tratamiento antibiótico a las 48-72 horas (persistencia o empeoramiento de la fiebre, deterioro de la SatO2, extensión radiológica) para redefinición diagnóstica y terapéutica.</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NAC con sospecha de derrame pleural paraneumónico para orientación sobre la indicación y la técnica de la toracocentesis diagnóstica.</w:t>
      </w:r>
    </w:p>
    <w:p w:rsidR="00000000" w:rsidDel="00000000" w:rsidP="00000000" w:rsidRDefault="00000000" w:rsidRPr="00000000" w14:paraId="00000063">
      <w:pPr>
        <w:jc w:val="both"/>
        <w:rPr>
          <w:rFonts w:ascii="Arial" w:cs="Arial" w:eastAsia="Arial" w:hAnsi="Arial"/>
        </w:rPr>
      </w:pPr>
      <w:r w:rsidDel="00000000" w:rsidR="00000000" w:rsidRPr="00000000">
        <w:rPr>
          <w:rFonts w:ascii="Arial" w:cs="Arial" w:eastAsia="Arial" w:hAnsi="Arial"/>
          <w:rtl w:val="0"/>
        </w:rPr>
        <w:t xml:space="preserve">Criterios de Exclusión (Remisión Urgente Presencial a UCI)</w:t>
      </w:r>
    </w:p>
    <w:p w:rsidR="00000000" w:rsidDel="00000000" w:rsidP="00000000" w:rsidRDefault="00000000" w:rsidRPr="00000000" w14:paraId="00000064">
      <w:pPr>
        <w:jc w:val="both"/>
        <w:rPr>
          <w:rFonts w:ascii="Arial" w:cs="Arial" w:eastAsia="Arial" w:hAnsi="Arial"/>
        </w:rPr>
      </w:pPr>
      <w:r w:rsidDel="00000000" w:rsidR="00000000" w:rsidRPr="00000000">
        <w:rPr>
          <w:rFonts w:ascii="Arial" w:cs="Arial" w:eastAsia="Arial" w:hAnsi="Arial"/>
          <w:rtl w:val="0"/>
        </w:rPr>
        <w:t xml:space="preserve">La teleexperticia orienta la estabilización inicial pero no reemplaza el manejo intensivo presencial en las siguientes situaciones: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Presencia de uno o más criterios mayores de IDSA/ATS: necesidad de ventilación mecánica invasiva o shock séptico que requiere vasopresores.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sdt>
        <w:sdtPr>
          <w:id w:val="1839970600"/>
          <w:tag w:val="goog_rdk_7"/>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Presencia de tres o más criterios menores de IDSA/ATS: FreqR ≥ 30/min, PaO2/FiO2 &lt; 250, infiltrados multilobares, confusión, BUN &gt; 20 mg/dL, leucopenia &lt; 4.000/mm³, hipotermia &lt; 36°C.</w:t>
          </w:r>
        </w:sdtContent>
      </w:sdt>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SatO2 &lt; 88% con oxígeno suplementario a 4 litros por minuto o más.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Signos clínicos de choque (hipotensión, taquicardia &gt; 120 lpm, frialdad distal, llenado capilar &gt; 3 segundos, alteración del estado de conciencia).</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Necesidad de ventilación no invasiva (VNI) que supera la capacidad del nivel de atención disponible.</w:t>
      </w:r>
    </w:p>
    <w:p w:rsidR="00000000" w:rsidDel="00000000" w:rsidP="00000000" w:rsidRDefault="00000000" w:rsidRPr="00000000" w14:paraId="0000006A">
      <w:pPr>
        <w:pStyle w:val="Heading1"/>
        <w:rPr>
          <w:rFonts w:ascii="Arial" w:cs="Arial" w:eastAsia="Arial" w:hAnsi="Arial"/>
          <w:b w:val="1"/>
          <w:bCs w:val="1"/>
        </w:rPr>
      </w:pPr>
      <w:r w:rsidDel="00000000" w:rsidR="00000000" w:rsidRPr="00000000">
        <w:rPr>
          <w:rFonts w:ascii="Arial" w:cs="Arial" w:eastAsia="Arial" w:hAnsi="Arial"/>
          <w:b w:val="1"/>
          <w:bCs w:val="1"/>
          <w:rtl w:val="0"/>
        </w:rPr>
        <w:t xml:space="preserve">9. Roles y Responsabilidades en Telesalud</w:t>
      </w:r>
    </w:p>
    <w:p w:rsidR="00000000" w:rsidDel="00000000" w:rsidP="00000000" w:rsidRDefault="00000000" w:rsidRPr="00000000" w14:paraId="0000006B">
      <w:pPr>
        <w:jc w:val="both"/>
        <w:rPr>
          <w:rFonts w:ascii="Arial" w:cs="Arial" w:eastAsia="Arial" w:hAnsi="Arial"/>
        </w:rPr>
      </w:pPr>
      <w:r w:rsidDel="00000000" w:rsidR="00000000" w:rsidRPr="00000000">
        <w:rPr>
          <w:rFonts w:ascii="Arial" w:cs="Arial" w:eastAsia="Arial" w:hAnsi="Arial"/>
          <w:rtl w:val="0"/>
        </w:rPr>
        <w:t xml:space="preserve">Médico general / Profesional de urgencias (Centro Remisor): responsable de la identificación del paciente con NAC, la aplicación autónoma de la escala CURB-65, la toma de signos vitales y oximetría, la administración del oxígeno suplementario cuando esté indicado, el inicio autónomo del antibiótico de primera línea en NAC leve sin esperar la teleexperticia, la toma de hemocultivos antes del antibiótico en NAC moderada a severa, la recolección y el envío de la imagen radiológica, la activación de la teleexperticia en los casos que la requieren, la ejecución del esquema terapéutico prescrito por el referente y el registro en la historia clínica local.</w:t>
      </w:r>
    </w:p>
    <w:p w:rsidR="00000000" w:rsidDel="00000000" w:rsidP="00000000" w:rsidRDefault="00000000" w:rsidRPr="00000000" w14:paraId="0000006C">
      <w:pPr>
        <w:jc w:val="both"/>
        <w:rPr>
          <w:rFonts w:ascii="Arial" w:cs="Arial" w:eastAsia="Arial" w:hAnsi="Arial"/>
        </w:rPr>
      </w:pPr>
      <w:r w:rsidDel="00000000" w:rsidR="00000000" w:rsidRPr="00000000">
        <w:rPr>
          <w:rFonts w:ascii="Arial" w:cs="Arial" w:eastAsia="Arial" w:hAnsi="Arial"/>
          <w:rtl w:val="0"/>
        </w:rPr>
        <w:t xml:space="preserve">Especialista referente — internista, neumólogo o infectólogo (Centro Referente): responsable de la evaluación clínica remota completa, el cálculo y la validación del PSI, la interpretación de la imagen radiológica, la identificación de factores de riesgo para microorganismos especiales, la prescripción del esquema antibiótico empírico optimizado, la definición de la conducta (ambulatorio, hospitalización, UCI), la orientación de los procedimientos complementarios (toracocentesis, broncoscopia), el seguimiento de la respuesta al tratamiento y el registro del concepto en Hosvital.</w:t>
      </w:r>
    </w:p>
    <w:p w:rsidR="00000000" w:rsidDel="00000000" w:rsidP="00000000" w:rsidRDefault="00000000" w:rsidRPr="00000000" w14:paraId="0000006D">
      <w:pPr>
        <w:jc w:val="both"/>
        <w:rPr>
          <w:rFonts w:ascii="Arial" w:cs="Arial" w:eastAsia="Arial" w:hAnsi="Arial"/>
        </w:rPr>
      </w:pPr>
      <w:sdt>
        <w:sdtPr>
          <w:id w:val="-2000166152"/>
          <w:tag w:val="goog_rdk_8"/>
        </w:sdtPr>
        <w:sdtContent>
          <w:r w:rsidDel="00000000" w:rsidR="00000000" w:rsidRPr="00000000">
            <w:rPr>
              <w:rFonts w:ascii="Arial Unicode MS" w:cs="Arial Unicode MS" w:eastAsia="Arial Unicode MS" w:hAnsi="Arial Unicode MS"/>
              <w:rtl w:val="0"/>
            </w:rPr>
            <w:t xml:space="preserve">Equipo de enfermería (Centro Remisor): responsable de la administración del oxígeno suplementario y el monitoreo continuo de la SatO2, la canalización del acceso venoso periférico, la administración de la primera dosis del antibiótico, la toma de muestras microbiológicas (hemocultivos, muestra de esputo) y el monitoreo de los signos vitales cada hora en los pacientes con CURB-65 ≥ 2.</w:t>
          </w:r>
        </w:sdtContent>
      </w:sdt>
    </w:p>
    <w:p w:rsidR="00000000" w:rsidDel="00000000" w:rsidP="00000000" w:rsidRDefault="00000000" w:rsidRPr="00000000" w14:paraId="0000006E">
      <w:pPr>
        <w:jc w:val="both"/>
        <w:rPr>
          <w:rFonts w:ascii="Arial" w:cs="Arial" w:eastAsia="Arial" w:hAnsi="Arial"/>
        </w:rPr>
      </w:pPr>
      <w:r w:rsidDel="00000000" w:rsidR="00000000" w:rsidRPr="00000000">
        <w:rPr>
          <w:rFonts w:ascii="Arial" w:cs="Arial" w:eastAsia="Arial" w:hAnsi="Arial"/>
          <w:rtl w:val="0"/>
        </w:rPr>
        <w:t xml:space="preserve">Gestor de referencia y contrarreferencia (Rol administrativo): responsable de la activación del transporte medicalizado hacia la UCI o el nivel de mayor complejidad en los casos con criterios de severidad, la consecución de la cama en la institución receptora y la garantía de la continuidad de la información clínica en el traslado.</w:t>
      </w:r>
    </w:p>
    <w:p w:rsidR="00000000" w:rsidDel="00000000" w:rsidP="00000000" w:rsidRDefault="00000000" w:rsidRPr="00000000" w14:paraId="0000006F">
      <w:pPr>
        <w:pStyle w:val="Heading1"/>
        <w:rPr>
          <w:rFonts w:ascii="Arial" w:cs="Arial" w:eastAsia="Arial" w:hAnsi="Arial"/>
          <w:b w:val="1"/>
          <w:bCs w:val="1"/>
        </w:rPr>
      </w:pPr>
      <w:r w:rsidDel="00000000" w:rsidR="00000000" w:rsidRPr="00000000">
        <w:rPr>
          <w:rFonts w:ascii="Arial" w:cs="Arial" w:eastAsia="Arial" w:hAnsi="Arial"/>
          <w:b w:val="1"/>
          <w:bCs w:val="1"/>
          <w:rtl w:val="0"/>
        </w:rPr>
        <w:t xml:space="preserve">10. Tiempos de Respuesta Sugeridos</w:t>
      </w:r>
    </w:p>
    <w:p w:rsidR="00000000" w:rsidDel="00000000" w:rsidP="00000000" w:rsidRDefault="00000000" w:rsidRPr="00000000" w14:paraId="00000070">
      <w:pPr>
        <w:jc w:val="both"/>
        <w:rPr>
          <w:rFonts w:ascii="Arial" w:cs="Arial" w:eastAsia="Arial" w:hAnsi="Arial"/>
        </w:rPr>
      </w:pPr>
      <w:r w:rsidDel="00000000" w:rsidR="00000000" w:rsidRPr="00000000">
        <w:rPr>
          <w:rFonts w:ascii="Arial" w:cs="Arial" w:eastAsia="Arial" w:hAnsi="Arial"/>
          <w:rtl w:val="0"/>
        </w:rPr>
        <w:t xml:space="preserve">Sistema de priorización según severidad de la NAC:</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sdt>
        <w:sdtPr>
          <w:id w:val="985389818"/>
          <w:tag w:val="goog_rdk_9"/>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Categoría I (Emergencia — CURB-65 ≥ 3 o criterios de severidad IDSA/ATS): tiempo máximo de conexión con el especialista referente: &lt; 10 minutos. Preparación simultánea de la remisión a UCI o nivel de mayor complejidad.</w:t>
          </w:r>
        </w:sdtContent>
      </w:sdt>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Categoría II (Urgencia — CURB-65 2 o PSI clase IV): tiempo máximo de conexión: &lt; 30 minutos. Inicio del antibiótico IV y definición de hospitalización.</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Categoría III (Prioritario — CURB-65 1 con comorbilidades o PSI clase III): tiempo máximo de conexión: &lt; 2 horas. Validación del esquema antibiótico oral y plan de seguimiento ambulatorio.</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Categoría IV (Consulta — CURB-65 0 con duda diagnóstica o de manejo): tiempo máximo de conexión: &lt; 4 horas hábiles. Confirmación del diagnóstico y del tratamiento ambulatorio.</w:t>
      </w:r>
    </w:p>
    <w:p w:rsidR="00000000" w:rsidDel="00000000" w:rsidP="00000000" w:rsidRDefault="00000000" w:rsidRPr="00000000" w14:paraId="00000075">
      <w:pPr>
        <w:jc w:val="both"/>
        <w:rPr>
          <w:rFonts w:ascii="Arial" w:cs="Arial" w:eastAsia="Arial" w:hAnsi="Arial"/>
        </w:rPr>
      </w:pPr>
      <w:r w:rsidDel="00000000" w:rsidR="00000000" w:rsidRPr="00000000">
        <w:rPr>
          <w:rFonts w:ascii="Arial" w:cs="Arial" w:eastAsia="Arial" w:hAnsi="Arial"/>
          <w:rtl w:val="0"/>
        </w:rPr>
        <w:t xml:space="preserve">Metas de calidad en el manejo de la NAC:</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Tiempo desde la identificación del paciente hasta la administración de la primera dosis del antibiótico: máximo 4 horas (meta: &lt; 2 horas en NAC moderada a severa). Este indicador tiene el mayor impacto demostrado en la reducción de la mortalidad por NAC.</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Tiempo desde la identificación de criterios de severidad hasta la activación de la remisión a UCI: máximo 30 minutos.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Seguimiento ambulatorio post-alta o post-inicio de tratamiento: teleconsulta a las 48-72 horas para evaluación de la respuesta clínica y la tolerabilidad del antibiótico.</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Criterios de estabilidad para alta hospitalaria: cumplimiento de los 7 criterios de estabilidad clínica (sección 6) durante al menos 24 horas consecutivas antes del alta.</w:t>
      </w:r>
    </w:p>
    <w:p w:rsidR="00000000" w:rsidDel="00000000" w:rsidP="00000000" w:rsidRDefault="00000000" w:rsidRPr="00000000" w14:paraId="0000007A">
      <w:pPr>
        <w:jc w:val="both"/>
        <w:rPr>
          <w:rFonts w:ascii="Arial" w:cs="Arial" w:eastAsia="Arial" w:hAnsi="Arial"/>
        </w:rPr>
      </w:pPr>
      <w:r w:rsidDel="00000000" w:rsidR="00000000" w:rsidRPr="00000000">
        <w:rPr>
          <w:rFonts w:ascii="Arial" w:cs="Arial" w:eastAsia="Arial" w:hAnsi="Arial"/>
          <w:rtl w:val="0"/>
        </w:rPr>
        <w:t xml:space="preserve">Gestión de contingencias: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sdt>
        <w:sdtPr>
          <w:id w:val="-69993976"/>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Fallo de conectividad en NAC severa (CURB-65 ≥ 3): el remisor actúa de forma autónoma con el protocolo institucional de NAC severa: inicio de antibiótico de amplio espectro (ampicilina-sulbactam más azitromicina o levofloxacina), oxígeno, acceso venoso y activación de la remisión a UCI. Contactar al referente por línea telefónica en paralelo.</w:t>
          </w:r>
        </w:sdtContent>
      </w:sdt>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Imposibilidad de obtener radiografía de tórax (zona sin equipo de rayos X): el especialista realiza la estratificación del riesgo con base en los datos clínicos y de laboratorio disponibles. El diagnóstico clínico de NAC es suficiente para iniciar el tratamiento en contextos de recursos limitados; la ausencia de confirmación radiológica no debe retrasar el inicio del antibiótico en un paciente con alta probabilidad clínica.</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Falla al tratamiento a las 48-72 horas: el remisor activa de nuevo la teleexperticia para reevaluación diagnóstica (considerar diagnósticos alternativos: derrame pleural, tuberculosis, cáncer de pulmón, vasculitis pulmonar) y ajuste del esquema antibiótico (ampliar cobertura, cambio de familia farmacológica, considerar SAMR si hay factores de riesgo).</w:t>
      </w:r>
    </w:p>
    <w:p w:rsidR="00000000" w:rsidDel="00000000" w:rsidP="00000000" w:rsidRDefault="00000000" w:rsidRPr="00000000" w14:paraId="0000007E">
      <w:pPr>
        <w:pStyle w:val="Heading1"/>
        <w:rPr>
          <w:rFonts w:ascii="Arial" w:cs="Arial" w:eastAsia="Arial" w:hAnsi="Arial"/>
          <w:b w:val="1"/>
          <w:bCs w:val="1"/>
        </w:rPr>
      </w:pPr>
      <w:r w:rsidDel="00000000" w:rsidR="00000000" w:rsidRPr="00000000">
        <w:rPr>
          <w:rFonts w:ascii="Arial" w:cs="Arial" w:eastAsia="Arial" w:hAnsi="Arial"/>
          <w:b w:val="1"/>
          <w:bCs w:val="1"/>
          <w:rtl w:val="0"/>
        </w:rPr>
        <w:t xml:space="preserve">11. Estrategias de Humanización Digital y Diálogo Intercultural</w:t>
      </w:r>
    </w:p>
    <w:p w:rsidR="00000000" w:rsidDel="00000000" w:rsidP="00000000" w:rsidRDefault="00000000" w:rsidRPr="00000000" w14:paraId="0000007F">
      <w:pPr>
        <w:jc w:val="both"/>
        <w:rPr>
          <w:rFonts w:ascii="Arial" w:cs="Arial" w:eastAsia="Arial" w:hAnsi="Arial"/>
        </w:rPr>
      </w:pPr>
      <w:r w:rsidDel="00000000" w:rsidR="00000000" w:rsidRPr="00000000">
        <w:rPr>
          <w:rFonts w:ascii="Arial" w:cs="Arial" w:eastAsia="Arial" w:hAnsi="Arial"/>
          <w:rtl w:val="0"/>
        </w:rPr>
        <w:t xml:space="preserve">Comunicación clara sobre el diagnóstico y el tratamiento: el paciente con NAC frecuentemente llega a la consulta con angustia por la disnea y la fiebre. El profesional debe explicar en lenguaje comprensible qué es la neumonía, por qué se produce, cómo funciona el antibiótico y cuánto tiempo tardará en mejorar. Debe establecer expectativas realistas: la mejoría de la fiebre suele ocurrir en 48-72 horas con el antibiótico correcto, pero la tos y el cansancio pueden persistir 2-4 semanas. Esta información reduce la ansiedad y mejora la adherencia al tratamiento.</w:t>
      </w:r>
    </w:p>
    <w:p w:rsidR="00000000" w:rsidDel="00000000" w:rsidP="00000000" w:rsidRDefault="00000000" w:rsidRPr="00000000" w14:paraId="00000080">
      <w:pPr>
        <w:jc w:val="both"/>
        <w:rPr>
          <w:rFonts w:ascii="Arial" w:cs="Arial" w:eastAsia="Arial" w:hAnsi="Arial"/>
        </w:rPr>
      </w:pPr>
      <w:r w:rsidDel="00000000" w:rsidR="00000000" w:rsidRPr="00000000">
        <w:rPr>
          <w:rFonts w:ascii="Arial" w:cs="Arial" w:eastAsia="Arial" w:hAnsi="Arial"/>
          <w:rtl w:val="0"/>
        </w:rPr>
        <w:t xml:space="preserve">Educación sobre la adherencia al antibiótico: la interrupción prematura del antibiótico cuando el paciente se siente mejor es una de las principales causas de recaída y de selección de resistencias. El profesional debe instruir explícitamente al paciente sobre la necesidad de completar el ciclo completo del antibiótico prescrito (5-7 días en NAC leve), aunque los síntomas mejoren antes. Informar también sobre los efectos adversos más frecuentes del antibiótico prescrito (diarrea con amoxicilina-clavulanato, fotosensibilidad con fluoroquinolonas) para prevenir el abandono por efectos inesperados.</w:t>
      </w:r>
    </w:p>
    <w:p w:rsidR="00000000" w:rsidDel="00000000" w:rsidP="00000000" w:rsidRDefault="00000000" w:rsidRPr="00000000" w14:paraId="00000081">
      <w:pPr>
        <w:jc w:val="both"/>
        <w:rPr>
          <w:rFonts w:ascii="Arial" w:cs="Arial" w:eastAsia="Arial" w:hAnsi="Arial"/>
        </w:rPr>
      </w:pPr>
      <w:sdt>
        <w:sdtPr>
          <w:id w:val="286489477"/>
          <w:tag w:val="goog_rdk_11"/>
        </w:sdtPr>
        <w:sdtContent>
          <w:r w:rsidDel="00000000" w:rsidR="00000000" w:rsidRPr="00000000">
            <w:rPr>
              <w:rFonts w:ascii="Arial Unicode MS" w:cs="Arial Unicode MS" w:eastAsia="Arial Unicode MS" w:hAnsi="Arial Unicode MS"/>
              <w:rtl w:val="0"/>
            </w:rPr>
            <w:t xml:space="preserve">Señales de alarma para retorno urgente: el paciente en manejo ambulatorio debe recibir instrucciones escritas y verbales claras sobre las señales que requieren retorno inmediato a urgencias sin esperar la teleconsulta programada: aumento de la disnea, incapacidad para mantener la SatO2 ≥ 90% con el oxígeno prescrito, incapacidad para tolerar la vía oral, confusión o alteración del comportamiento, y temperatura &gt; 39°C que no cede con antipiréticos.</w:t>
          </w:r>
        </w:sdtContent>
      </w:sdt>
    </w:p>
    <w:p w:rsidR="00000000" w:rsidDel="00000000" w:rsidP="00000000" w:rsidRDefault="00000000" w:rsidRPr="00000000" w14:paraId="00000082">
      <w:pPr>
        <w:jc w:val="both"/>
        <w:rPr>
          <w:rFonts w:ascii="Arial" w:cs="Arial" w:eastAsia="Arial" w:hAnsi="Arial"/>
        </w:rPr>
      </w:pPr>
      <w:r w:rsidDel="00000000" w:rsidR="00000000" w:rsidRPr="00000000">
        <w:rPr>
          <w:rFonts w:ascii="Arial" w:cs="Arial" w:eastAsia="Arial" w:hAnsi="Arial"/>
          <w:rtl w:val="0"/>
        </w:rPr>
        <w:t xml:space="preserve">Abordaje intercultural en el manejo de la NAC: en algunas comunidades rurales e indígenas, la neumonía puede interpretarse como consecuencia del frío, del "mal aire" o de desequilibrios espirituales, lo que puede llevar a la familia a priorizar remedios tradicionales (infusiones, untados, rituales) sobre el tratamiento antibiótico. El profesional debe reconocer el valor de las prácticas complementarias no perjudiciales (vapores, abrigo, hidratación con infusiones calientes) sin confrontar la cosmovisión cultural, y enfatizar de forma respetuosa que la bacteria que causa la neumonía requiere el antibiótico para ser eliminada, y que sin él el pulmón puede deteriorarse de forma peligrosa en pocas horas.</w:t>
      </w:r>
    </w:p>
    <w:p w:rsidR="00000000" w:rsidDel="00000000" w:rsidP="00000000" w:rsidRDefault="00000000" w:rsidRPr="00000000" w14:paraId="00000083">
      <w:pPr>
        <w:jc w:val="both"/>
        <w:rPr>
          <w:rFonts w:ascii="Arial" w:cs="Arial" w:eastAsia="Arial" w:hAnsi="Arial"/>
        </w:rPr>
      </w:pPr>
      <w:r w:rsidDel="00000000" w:rsidR="00000000" w:rsidRPr="00000000">
        <w:rPr>
          <w:rFonts w:ascii="Arial" w:cs="Arial" w:eastAsia="Arial" w:hAnsi="Arial"/>
          <w:rtl w:val="0"/>
        </w:rPr>
        <w:t xml:space="preserve">Consideraciones en adultos mayores: los adultos mayores con NAC frecuentemente presentan una clínica atípica — sin fiebre prominente, con confusión como síntoma predominante, sin tos productiva — que puede llevar a una estratificación del riesgo incorrecta si no se aplica el PSI que incorpora la edad como variable. El profesional debe mantener un umbral bajo de sospecha diagnóstica de NAC en el adulto mayor con deterioro del estado general agudo, incluso en ausencia de los síntomas respiratorios clásicos.</w:t>
      </w:r>
    </w:p>
    <w:p w:rsidR="00000000" w:rsidDel="00000000" w:rsidP="00000000" w:rsidRDefault="00000000" w:rsidRPr="00000000" w14:paraId="00000084">
      <w:pPr>
        <w:pStyle w:val="Heading1"/>
        <w:rPr>
          <w:rFonts w:ascii="Arial" w:cs="Arial" w:eastAsia="Arial" w:hAnsi="Arial"/>
          <w:b w:val="1"/>
          <w:bCs w:val="1"/>
        </w:rPr>
      </w:pPr>
      <w:r w:rsidDel="00000000" w:rsidR="00000000" w:rsidRPr="00000000">
        <w:rPr>
          <w:rFonts w:ascii="Arial" w:cs="Arial" w:eastAsia="Arial" w:hAnsi="Arial"/>
          <w:b w:val="1"/>
          <w:bCs w:val="1"/>
          <w:rtl w:val="0"/>
        </w:rPr>
        <w:t xml:space="preserve">12. Indicadores de Calidad y Seguimiento</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2943"/>
        <w:gridCol w:w="2942"/>
        <w:tblGridChange w:id="0">
          <w:tblGrid>
            <w:gridCol w:w="2943"/>
            <w:gridCol w:w="2943"/>
            <w:gridCol w:w="2942"/>
          </w:tblGrid>
        </w:tblGridChange>
      </w:tblGrid>
      <w:tr>
        <w:trPr>
          <w:cantSplit w:val="0"/>
          <w:tblHeader w:val="0"/>
        </w:trPr>
        <w:tc>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b w:val="1"/>
                <w:bCs w:val="1"/>
                <w:sz w:val="18"/>
                <w:szCs w:val="18"/>
                <w:rtl w:val="0"/>
              </w:rPr>
              <w:t xml:space="preserve">Indicador</w:t>
            </w:r>
            <w:r w:rsidDel="00000000" w:rsidR="00000000" w:rsidRPr="00000000">
              <w:rPr>
                <w:rtl w:val="0"/>
              </w:rPr>
            </w:r>
          </w:p>
        </w:tc>
        <w:tc>
          <w:tcPr/>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b w:val="1"/>
                <w:bCs w:val="1"/>
                <w:sz w:val="18"/>
                <w:szCs w:val="18"/>
                <w:rtl w:val="0"/>
              </w:rPr>
              <w:t xml:space="preserve">Definición</w:t>
            </w:r>
            <w:r w:rsidDel="00000000" w:rsidR="00000000" w:rsidRPr="00000000">
              <w:rPr>
                <w:rtl w:val="0"/>
              </w:rPr>
            </w:r>
          </w:p>
        </w:tc>
        <w:tc>
          <w:tcPr/>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b w:val="1"/>
                <w:bCs w:val="1"/>
                <w:sz w:val="18"/>
                <w:szCs w:val="18"/>
                <w:rtl w:val="0"/>
              </w:rPr>
              <w:t xml:space="preserve">Meta Sugerida</w:t>
            </w:r>
            <w:r w:rsidDel="00000000" w:rsidR="00000000" w:rsidRPr="00000000">
              <w:rPr>
                <w:rtl w:val="0"/>
              </w:rPr>
            </w:r>
          </w:p>
        </w:tc>
      </w:tr>
      <w:tr>
        <w:trPr>
          <w:cantSplit w:val="0"/>
          <w:tblHeader w:val="0"/>
        </w:trPr>
        <w:tc>
          <w:tcPr/>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sz w:val="18"/>
                <w:szCs w:val="18"/>
                <w:rtl w:val="0"/>
              </w:rPr>
              <w:t xml:space="preserve">Oportunidad de la primera dosis del antibiótico</w:t>
            </w:r>
            <w:r w:rsidDel="00000000" w:rsidR="00000000" w:rsidRPr="00000000">
              <w:rPr>
                <w:rtl w:val="0"/>
              </w:rPr>
            </w:r>
          </w:p>
        </w:tc>
        <w:tc>
          <w:tcPr/>
          <w:p w:rsidR="00000000" w:rsidDel="00000000" w:rsidP="00000000" w:rsidRDefault="00000000" w:rsidRPr="00000000" w14:paraId="00000089">
            <w:pPr>
              <w:rPr>
                <w:rFonts w:ascii="Arial" w:cs="Arial" w:eastAsia="Arial" w:hAnsi="Arial"/>
              </w:rPr>
            </w:pPr>
            <w:sdt>
              <w:sdtPr>
                <w:id w:val="2121238599"/>
                <w:tag w:val="goog_rdk_12"/>
              </w:sdtPr>
              <w:sdtContent>
                <w:r w:rsidDel="00000000" w:rsidR="00000000" w:rsidRPr="00000000">
                  <w:rPr>
                    <w:rFonts w:ascii="Arial Unicode MS" w:cs="Arial Unicode MS" w:eastAsia="Arial Unicode MS" w:hAnsi="Arial Unicode MS"/>
                    <w:sz w:val="18"/>
                    <w:szCs w:val="18"/>
                    <w:rtl w:val="0"/>
                  </w:rPr>
                  <w:t xml:space="preserve">% de pacientes con NAC moderada a severa (CURB-65 ≥ 2) que reciben la primera dosis del antibiótico en &lt; 4 horas desde la identificación del diagnóstico sobre el total de pacientes con ese nivel de severidad</w:t>
                </w:r>
              </w:sdtContent>
            </w:sdt>
            <w:r w:rsidDel="00000000" w:rsidR="00000000" w:rsidRPr="00000000">
              <w:rPr>
                <w:rtl w:val="0"/>
              </w:rPr>
            </w:r>
          </w:p>
        </w:tc>
        <w:tc>
          <w:tcPr/>
          <w:p w:rsidR="00000000" w:rsidDel="00000000" w:rsidP="00000000" w:rsidRDefault="00000000" w:rsidRPr="00000000" w14:paraId="0000008A">
            <w:pPr>
              <w:rPr>
                <w:rFonts w:ascii="Arial" w:cs="Arial" w:eastAsia="Arial" w:hAnsi="Arial"/>
              </w:rPr>
            </w:pPr>
            <w:sdt>
              <w:sdtPr>
                <w:id w:val="95014003"/>
                <w:tag w:val="goog_rdk_13"/>
              </w:sdtPr>
              <w:sdtContent>
                <w:r w:rsidDel="00000000" w:rsidR="00000000" w:rsidRPr="00000000">
                  <w:rPr>
                    <w:rFonts w:ascii="Arial Unicode MS" w:cs="Arial Unicode MS" w:eastAsia="Arial Unicode MS" w:hAnsi="Arial Unicode MS"/>
                    <w:sz w:val="18"/>
                    <w:szCs w:val="18"/>
                    <w:rtl w:val="0"/>
                  </w:rPr>
                  <w:t xml:space="preserve">≥ 90 %</w:t>
                </w:r>
              </w:sdtContent>
            </w:sdt>
            <w:r w:rsidDel="00000000" w:rsidR="00000000" w:rsidRPr="00000000">
              <w:rPr>
                <w:rtl w:val="0"/>
              </w:rPr>
            </w:r>
          </w:p>
        </w:tc>
      </w:tr>
      <w:tr>
        <w:trPr>
          <w:cantSplit w:val="0"/>
          <w:tblHeader w:val="0"/>
        </w:trPr>
        <w:tc>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sz w:val="18"/>
                <w:szCs w:val="18"/>
                <w:rtl w:val="0"/>
              </w:rPr>
              <w:t xml:space="preserve">Oportunidad de conexión en NAC severa</w:t>
            </w:r>
            <w:r w:rsidDel="00000000" w:rsidR="00000000" w:rsidRPr="00000000">
              <w:rPr>
                <w:rtl w:val="0"/>
              </w:rPr>
            </w:r>
          </w:p>
        </w:tc>
        <w:tc>
          <w:tcPr/>
          <w:p w:rsidR="00000000" w:rsidDel="00000000" w:rsidP="00000000" w:rsidRDefault="00000000" w:rsidRPr="00000000" w14:paraId="0000008C">
            <w:pPr>
              <w:rPr>
                <w:rFonts w:ascii="Arial" w:cs="Arial" w:eastAsia="Arial" w:hAnsi="Arial"/>
              </w:rPr>
            </w:pPr>
            <w:sdt>
              <w:sdtPr>
                <w:id w:val="1205702283"/>
                <w:tag w:val="goog_rdk_14"/>
              </w:sdtPr>
              <w:sdtContent>
                <w:r w:rsidDel="00000000" w:rsidR="00000000" w:rsidRPr="00000000">
                  <w:rPr>
                    <w:rFonts w:ascii="Arial Unicode MS" w:cs="Arial Unicode MS" w:eastAsia="Arial Unicode MS" w:hAnsi="Arial Unicode MS"/>
                    <w:sz w:val="18"/>
                    <w:szCs w:val="18"/>
                    <w:rtl w:val="0"/>
                  </w:rPr>
                  <w:t xml:space="preserve">% de activaciones de teleexperticia por NAC severa (CURB-65 ≥ 3 o criterios IDSA/ATS) con conexión efectiva con el especialista en ≤ 10 minutos sobre el total de activaciones en esa categoría</w:t>
                </w:r>
              </w:sdtContent>
            </w:sdt>
            <w:r w:rsidDel="00000000" w:rsidR="00000000" w:rsidRPr="00000000">
              <w:rPr>
                <w:rtl w:val="0"/>
              </w:rPr>
            </w:r>
          </w:p>
        </w:tc>
        <w:tc>
          <w:tcPr/>
          <w:p w:rsidR="00000000" w:rsidDel="00000000" w:rsidP="00000000" w:rsidRDefault="00000000" w:rsidRPr="00000000" w14:paraId="0000008D">
            <w:pPr>
              <w:rPr>
                <w:rFonts w:ascii="Arial" w:cs="Arial" w:eastAsia="Arial" w:hAnsi="Arial"/>
              </w:rPr>
            </w:pPr>
            <w:sdt>
              <w:sdtPr>
                <w:id w:val="405596620"/>
                <w:tag w:val="goog_rdk_15"/>
              </w:sdtPr>
              <w:sdtContent>
                <w:r w:rsidDel="00000000" w:rsidR="00000000" w:rsidRPr="00000000">
                  <w:rPr>
                    <w:rFonts w:ascii="Arial Unicode MS" w:cs="Arial Unicode MS" w:eastAsia="Arial Unicode MS" w:hAnsi="Arial Unicode MS"/>
                    <w:sz w:val="18"/>
                    <w:szCs w:val="18"/>
                    <w:rtl w:val="0"/>
                  </w:rPr>
                  <w:t xml:space="preserve">≥ 90 %</w:t>
                </w:r>
              </w:sdtContent>
            </w:sdt>
            <w:r w:rsidDel="00000000" w:rsidR="00000000" w:rsidRPr="00000000">
              <w:rPr>
                <w:rtl w:val="0"/>
              </w:rPr>
            </w:r>
          </w:p>
        </w:tc>
      </w:tr>
      <w:tr>
        <w:trPr>
          <w:cantSplit w:val="0"/>
          <w:tblHeader w:val="0"/>
        </w:trPr>
        <w:tc>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sz w:val="18"/>
                <w:szCs w:val="18"/>
                <w:rtl w:val="0"/>
              </w:rPr>
              <w:t xml:space="preserve">Uso de CURB-65 en la estratificación inicial</w:t>
            </w:r>
            <w:r w:rsidDel="00000000" w:rsidR="00000000" w:rsidRPr="00000000">
              <w:rPr>
                <w:rtl w:val="0"/>
              </w:rPr>
            </w:r>
          </w:p>
        </w:tc>
        <w:tc>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sz w:val="18"/>
                <w:szCs w:val="18"/>
                <w:rtl w:val="0"/>
              </w:rPr>
              <w:t xml:space="preserve">% de pacientes con NAC atendidos en el nivel primario con registro del puntaje CURB-65 en la historia clínica sobre el total de pacientes con diagnóstico de NAC</w:t>
            </w:r>
            <w:r w:rsidDel="00000000" w:rsidR="00000000" w:rsidRPr="00000000">
              <w:rPr>
                <w:rtl w:val="0"/>
              </w:rPr>
            </w:r>
          </w:p>
        </w:tc>
        <w:tc>
          <w:tcPr/>
          <w:p w:rsidR="00000000" w:rsidDel="00000000" w:rsidP="00000000" w:rsidRDefault="00000000" w:rsidRPr="00000000" w14:paraId="00000090">
            <w:pPr>
              <w:rPr>
                <w:rFonts w:ascii="Arial" w:cs="Arial" w:eastAsia="Arial" w:hAnsi="Arial"/>
              </w:rPr>
            </w:pPr>
            <w:sdt>
              <w:sdtPr>
                <w:id w:val="-1378055685"/>
                <w:tag w:val="goog_rdk_16"/>
              </w:sdtPr>
              <w:sdtContent>
                <w:r w:rsidDel="00000000" w:rsidR="00000000" w:rsidRPr="00000000">
                  <w:rPr>
                    <w:rFonts w:ascii="Arial Unicode MS" w:cs="Arial Unicode MS" w:eastAsia="Arial Unicode MS" w:hAnsi="Arial Unicode MS"/>
                    <w:sz w:val="18"/>
                    <w:szCs w:val="18"/>
                    <w:rtl w:val="0"/>
                  </w:rPr>
                  <w:t xml:space="preserve">≥ 95 %</w:t>
                </w:r>
              </w:sdtContent>
            </w:sdt>
            <w:r w:rsidDel="00000000" w:rsidR="00000000" w:rsidRPr="00000000">
              <w:rPr>
                <w:rtl w:val="0"/>
              </w:rPr>
            </w:r>
          </w:p>
        </w:tc>
      </w:tr>
      <w:tr>
        <w:trPr>
          <w:cantSplit w:val="0"/>
          <w:tblHeader w:val="0"/>
        </w:trPr>
        <w:tc>
          <w:tcPr/>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sz w:val="18"/>
                <w:szCs w:val="18"/>
                <w:rtl w:val="0"/>
              </w:rPr>
              <w:t xml:space="preserve">Adecuación del esquema antibiótico empírico</w:t>
            </w:r>
            <w:r w:rsidDel="00000000" w:rsidR="00000000" w:rsidRPr="00000000">
              <w:rPr>
                <w:rtl w:val="0"/>
              </w:rPr>
            </w:r>
          </w:p>
        </w:tc>
        <w:tc>
          <w:tcPr/>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sz w:val="18"/>
                <w:szCs w:val="18"/>
                <w:rtl w:val="0"/>
              </w:rPr>
              <w:t xml:space="preserve">% de prescripciones de antibióticos para NAC validadas por teleexperticia que se adhieren a los esquemas de primera línea recomendados según el nivel de riesgo sobre el total de prescripciones evaluadas</w:t>
            </w:r>
            <w:r w:rsidDel="00000000" w:rsidR="00000000" w:rsidRPr="00000000">
              <w:rPr>
                <w:rtl w:val="0"/>
              </w:rPr>
            </w:r>
          </w:p>
        </w:tc>
        <w:tc>
          <w:tcPr/>
          <w:p w:rsidR="00000000" w:rsidDel="00000000" w:rsidP="00000000" w:rsidRDefault="00000000" w:rsidRPr="00000000" w14:paraId="00000093">
            <w:pPr>
              <w:rPr>
                <w:rFonts w:ascii="Arial" w:cs="Arial" w:eastAsia="Arial" w:hAnsi="Arial"/>
              </w:rPr>
            </w:pPr>
            <w:sdt>
              <w:sdtPr>
                <w:id w:val="-1229035203"/>
                <w:tag w:val="goog_rdk_17"/>
              </w:sdtPr>
              <w:sdtContent>
                <w:r w:rsidDel="00000000" w:rsidR="00000000" w:rsidRPr="00000000">
                  <w:rPr>
                    <w:rFonts w:ascii="Arial Unicode MS" w:cs="Arial Unicode MS" w:eastAsia="Arial Unicode MS" w:hAnsi="Arial Unicode MS"/>
                    <w:sz w:val="18"/>
                    <w:szCs w:val="18"/>
                    <w:rtl w:val="0"/>
                  </w:rPr>
                  <w:t xml:space="preserve">≥ 85 %</w:t>
                </w:r>
              </w:sdtContent>
            </w:sdt>
            <w:r w:rsidDel="00000000" w:rsidR="00000000" w:rsidRPr="00000000">
              <w:rPr>
                <w:rtl w:val="0"/>
              </w:rPr>
            </w:r>
          </w:p>
        </w:tc>
      </w:tr>
      <w:tr>
        <w:trPr>
          <w:cantSplit w:val="0"/>
          <w:tblHeader w:val="0"/>
        </w:trPr>
        <w:tc>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sz w:val="18"/>
                <w:szCs w:val="18"/>
                <w:rtl w:val="0"/>
              </w:rPr>
              <w:t xml:space="preserve">Seguimiento ambulatorio a las 48-72 horas</w:t>
            </w:r>
            <w:r w:rsidDel="00000000" w:rsidR="00000000" w:rsidRPr="00000000">
              <w:rPr>
                <w:rtl w:val="0"/>
              </w:rPr>
            </w:r>
          </w:p>
        </w:tc>
        <w:tc>
          <w:tcPr/>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sz w:val="18"/>
                <w:szCs w:val="18"/>
                <w:rtl w:val="0"/>
              </w:rPr>
              <w:t xml:space="preserve">% de pacientes con NAC leve dados de alta con manejo ambulatorio que completan la teleconsulta de seguimiento a las 48-72 horas sobre el total de pacientes con NAC leve en manejo ambulatorio</w:t>
            </w:r>
            <w:r w:rsidDel="00000000" w:rsidR="00000000" w:rsidRPr="00000000">
              <w:rPr>
                <w:rtl w:val="0"/>
              </w:rPr>
            </w:r>
          </w:p>
        </w:tc>
        <w:tc>
          <w:tcPr/>
          <w:p w:rsidR="00000000" w:rsidDel="00000000" w:rsidP="00000000" w:rsidRDefault="00000000" w:rsidRPr="00000000" w14:paraId="00000096">
            <w:pPr>
              <w:rPr>
                <w:rFonts w:ascii="Arial" w:cs="Arial" w:eastAsia="Arial" w:hAnsi="Arial"/>
              </w:rPr>
            </w:pPr>
            <w:sdt>
              <w:sdtPr>
                <w:id w:val="-1779211881"/>
                <w:tag w:val="goog_rdk_18"/>
              </w:sdtPr>
              <w:sdtContent>
                <w:r w:rsidDel="00000000" w:rsidR="00000000" w:rsidRPr="00000000">
                  <w:rPr>
                    <w:rFonts w:ascii="Arial Unicode MS" w:cs="Arial Unicode MS" w:eastAsia="Arial Unicode MS" w:hAnsi="Arial Unicode MS"/>
                    <w:sz w:val="18"/>
                    <w:szCs w:val="18"/>
                    <w:rtl w:val="0"/>
                  </w:rPr>
                  <w:t xml:space="preserve">≥ 80 %</w:t>
                </w:r>
              </w:sdtContent>
            </w:sdt>
            <w:r w:rsidDel="00000000" w:rsidR="00000000" w:rsidRPr="00000000">
              <w:rPr>
                <w:rtl w:val="0"/>
              </w:rPr>
            </w:r>
          </w:p>
        </w:tc>
      </w:tr>
      <w:tr>
        <w:trPr>
          <w:cantSplit w:val="0"/>
          <w:tblHeader w:val="0"/>
        </w:trPr>
        <w:tc>
          <w:tcPr/>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sz w:val="18"/>
                <w:szCs w:val="18"/>
                <w:rtl w:val="0"/>
              </w:rPr>
              <w:t xml:space="preserve">Tasa de remisión a UCI desde el nivel primario</w:t>
            </w:r>
            <w:r w:rsidDel="00000000" w:rsidR="00000000" w:rsidRPr="00000000">
              <w:rPr>
                <w:rtl w:val="0"/>
              </w:rPr>
            </w:r>
          </w:p>
        </w:tc>
        <w:tc>
          <w:tcPr/>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sz w:val="18"/>
                <w:szCs w:val="18"/>
                <w:rtl w:val="0"/>
              </w:rPr>
              <w:t xml:space="preserve">% de pacientes con NAC severa identificada en el nivel primario con remisión a UCI gestionada en &lt; 30 minutos desde la identificación de los criterios de severidad sobre el total de pacientes con NAC severa</w:t>
            </w:r>
            <w:r w:rsidDel="00000000" w:rsidR="00000000" w:rsidRPr="00000000">
              <w:rPr>
                <w:rtl w:val="0"/>
              </w:rPr>
            </w:r>
          </w:p>
        </w:tc>
        <w:tc>
          <w:tcPr/>
          <w:p w:rsidR="00000000" w:rsidDel="00000000" w:rsidP="00000000" w:rsidRDefault="00000000" w:rsidRPr="00000000" w14:paraId="00000099">
            <w:pPr>
              <w:rPr>
                <w:rFonts w:ascii="Arial" w:cs="Arial" w:eastAsia="Arial" w:hAnsi="Arial"/>
              </w:rPr>
            </w:pPr>
            <w:sdt>
              <w:sdtPr>
                <w:id w:val="-279433317"/>
                <w:tag w:val="goog_rdk_19"/>
              </w:sdtPr>
              <w:sdtContent>
                <w:r w:rsidDel="00000000" w:rsidR="00000000" w:rsidRPr="00000000">
                  <w:rPr>
                    <w:rFonts w:ascii="Arial Unicode MS" w:cs="Arial Unicode MS" w:eastAsia="Arial Unicode MS" w:hAnsi="Arial Unicode MS"/>
                    <w:sz w:val="18"/>
                    <w:szCs w:val="18"/>
                    <w:rtl w:val="0"/>
                  </w:rPr>
                  <w:t xml:space="preserve">≥ 85 %</w:t>
                </w:r>
              </w:sdtContent>
            </w:sdt>
            <w:r w:rsidDel="00000000" w:rsidR="00000000" w:rsidRPr="00000000">
              <w:rPr>
                <w:rtl w:val="0"/>
              </w:rPr>
            </w:r>
          </w:p>
        </w:tc>
      </w:tr>
      <w:tr>
        <w:trPr>
          <w:cantSplit w:val="0"/>
          <w:tblHeader w:val="0"/>
        </w:trPr>
        <w:tc>
          <w:tcPr/>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sz w:val="18"/>
                <w:szCs w:val="18"/>
                <w:rtl w:val="0"/>
              </w:rPr>
              <w:t xml:space="preserve">Tasa de falla al tratamiento ambulatorio a 72 horas</w:t>
            </w:r>
            <w:r w:rsidDel="00000000" w:rsidR="00000000" w:rsidRPr="00000000">
              <w:rPr>
                <w:rtl w:val="0"/>
              </w:rPr>
            </w:r>
          </w:p>
        </w:tc>
        <w:tc>
          <w:tcPr/>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sz w:val="18"/>
                <w:szCs w:val="18"/>
                <w:rtl w:val="0"/>
              </w:rPr>
              <w:t xml:space="preserve">% de pacientes con NAC leve en manejo ambulatorio que requieren hospitalización o intensificación del tratamiento en las primeras 72 horas sobre el total de pacientes con NAC leve en manejo ambulatorio</w:t>
            </w:r>
            <w:r w:rsidDel="00000000" w:rsidR="00000000" w:rsidRPr="00000000">
              <w:rPr>
                <w:rtl w:val="0"/>
              </w:rPr>
            </w:r>
          </w:p>
        </w:tc>
        <w:tc>
          <w:tcPr/>
          <w:p w:rsidR="00000000" w:rsidDel="00000000" w:rsidP="00000000" w:rsidRDefault="00000000" w:rsidRPr="00000000" w14:paraId="0000009C">
            <w:pPr>
              <w:rPr>
                <w:rFonts w:ascii="Arial" w:cs="Arial" w:eastAsia="Arial" w:hAnsi="Arial"/>
              </w:rPr>
            </w:pPr>
            <w:sdt>
              <w:sdtPr>
                <w:id w:val="-340413189"/>
                <w:tag w:val="goog_rdk_20"/>
              </w:sdtPr>
              <w:sdtContent>
                <w:r w:rsidDel="00000000" w:rsidR="00000000" w:rsidRPr="00000000">
                  <w:rPr>
                    <w:rFonts w:ascii="Arial Unicode MS" w:cs="Arial Unicode MS" w:eastAsia="Arial Unicode MS" w:hAnsi="Arial Unicode MS"/>
                    <w:sz w:val="18"/>
                    <w:szCs w:val="18"/>
                    <w:rtl w:val="0"/>
                  </w:rPr>
                  <w:t xml:space="preserve">≤ 8 %</w:t>
                </w:r>
              </w:sdtContent>
            </w:sdt>
            <w:r w:rsidDel="00000000" w:rsidR="00000000" w:rsidRPr="00000000">
              <w:rPr>
                <w:rtl w:val="0"/>
              </w:rPr>
            </w:r>
          </w:p>
        </w:tc>
      </w:tr>
      <w:tr>
        <w:trPr>
          <w:cantSplit w:val="0"/>
          <w:tblHeader w:val="0"/>
        </w:trPr>
        <w:tc>
          <w:tcPr/>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sz w:val="18"/>
                <w:szCs w:val="18"/>
                <w:rtl w:val="0"/>
              </w:rPr>
              <w:t xml:space="preserve">Calidad del registro clínico</w:t>
            </w:r>
            <w:r w:rsidDel="00000000" w:rsidR="00000000" w:rsidRPr="00000000">
              <w:rPr>
                <w:rtl w:val="0"/>
              </w:rPr>
            </w:r>
          </w:p>
        </w:tc>
        <w:tc>
          <w:tcPr/>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sz w:val="18"/>
                <w:szCs w:val="18"/>
                <w:rtl w:val="0"/>
              </w:rPr>
              <w:t xml:space="preserve">% de teleconsultas de NAC con registro completo (CURB-65, descripción radiológica, esquema antibiótico prescrito, conducta y plan de seguimiento) sobre el total de teleconsultas realizadas</w:t>
            </w:r>
            <w:r w:rsidDel="00000000" w:rsidR="00000000" w:rsidRPr="00000000">
              <w:rPr>
                <w:rtl w:val="0"/>
              </w:rPr>
            </w:r>
          </w:p>
        </w:tc>
        <w:tc>
          <w:tcPr/>
          <w:p w:rsidR="00000000" w:rsidDel="00000000" w:rsidP="00000000" w:rsidRDefault="00000000" w:rsidRPr="00000000" w14:paraId="0000009F">
            <w:pPr>
              <w:rPr>
                <w:rFonts w:ascii="Arial" w:cs="Arial" w:eastAsia="Arial" w:hAnsi="Arial"/>
              </w:rPr>
            </w:pPr>
            <w:sdt>
              <w:sdtPr>
                <w:id w:val="1279985568"/>
                <w:tag w:val="goog_rdk_21"/>
              </w:sdtPr>
              <w:sdtContent>
                <w:r w:rsidDel="00000000" w:rsidR="00000000" w:rsidRPr="00000000">
                  <w:rPr>
                    <w:rFonts w:ascii="Arial Unicode MS" w:cs="Arial Unicode MS" w:eastAsia="Arial Unicode MS" w:hAnsi="Arial Unicode MS"/>
                    <w:sz w:val="18"/>
                    <w:szCs w:val="18"/>
                    <w:rtl w:val="0"/>
                  </w:rPr>
                  <w:t xml:space="preserve">≥ 95 %</w:t>
                </w:r>
              </w:sdtContent>
            </w:sdt>
            <w:r w:rsidDel="00000000" w:rsidR="00000000" w:rsidRPr="00000000">
              <w:rPr>
                <w:rtl w:val="0"/>
              </w:rPr>
            </w:r>
          </w:p>
        </w:tc>
      </w:tr>
    </w:tbl>
    <w:p w:rsidR="00000000" w:rsidDel="00000000" w:rsidP="00000000" w:rsidRDefault="00000000" w:rsidRPr="00000000" w14:paraId="000000A0">
      <w:pPr>
        <w:pStyle w:val="Heading1"/>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13. Bibliografía</w:t>
      </w:r>
    </w:p>
    <w:p w:rsidR="00000000" w:rsidDel="00000000" w:rsidP="00000000" w:rsidRDefault="00000000" w:rsidRPr="00000000" w14:paraId="000000A1">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 Ministerio de Salud y Protección Social de Colombia. Guía de Práctica Clínica para el diagnóstico y tratamiento de la Neumonía Adquirida en la Comunidad en adultos. Bogotá: MinSalud; 2013.</w:t>
      </w:r>
    </w:p>
    <w:p w:rsidR="00000000" w:rsidDel="00000000" w:rsidP="00000000" w:rsidRDefault="00000000" w:rsidRPr="00000000" w14:paraId="000000A2">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2. Ministerio de Salud y Protección Social de Colombia. Resolución 2654 de 2019: disposiciones para la telesalud y parámetros para la práctica de la telemedicina en Colombia. Bogotá: MinSalud; 2019.</w:t>
      </w:r>
    </w:p>
    <w:p w:rsidR="00000000" w:rsidDel="00000000" w:rsidP="00000000" w:rsidRDefault="00000000" w:rsidRPr="00000000" w14:paraId="000000A3">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3. Ministerio de Salud y Protección Social de Colombia. Plan Nacional de Respuesta a la Resistencia Antimicrobiana. Bogotá: MinSalud; 2018.</w:t>
      </w:r>
    </w:p>
    <w:p w:rsidR="00000000" w:rsidDel="00000000" w:rsidP="00000000" w:rsidRDefault="00000000" w:rsidRPr="00000000" w14:paraId="000000A4">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4. Mandell LA, Wunderink RG, Anzueto A, et al. Infectious Diseases Society of America/American Thoracic Society Consensus Guidelines on the Management of Community-Acquired Pneumonia in Adults. Clin Infect Dis. 2007;44(Suppl 2):S27-S72.</w:t>
      </w:r>
    </w:p>
    <w:p w:rsidR="00000000" w:rsidDel="00000000" w:rsidP="00000000" w:rsidRDefault="00000000" w:rsidRPr="00000000" w14:paraId="000000A5">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5. Lim WS, van der Eerden MM, Laing R, et al. Defining community acquired pneumonia severity on presentation to hospital: an international derivation and validation study. Thorax. 2003;58(5):377-382.</w:t>
      </w:r>
    </w:p>
    <w:p w:rsidR="00000000" w:rsidDel="00000000" w:rsidP="00000000" w:rsidRDefault="00000000" w:rsidRPr="00000000" w14:paraId="000000A6">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6. Fine MJ, Auble TE, Yealy DM, et al. A prediction rule to identify low-risk patients with community-acquired pneumonia. N Engl J Med. 1997;336(4):243-250.</w:t>
      </w:r>
    </w:p>
    <w:p w:rsidR="00000000" w:rsidDel="00000000" w:rsidP="00000000" w:rsidRDefault="00000000" w:rsidRPr="00000000" w14:paraId="000000A7">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7. British Thoracic Society. BTS Guidelines for the Management of Community Acquired Pneumonia in Adults: Update 2009. Thorax. 2009;64(Suppl 3):iii1-iii55.</w:t>
      </w:r>
    </w:p>
    <w:p w:rsidR="00000000" w:rsidDel="00000000" w:rsidP="00000000" w:rsidRDefault="00000000" w:rsidRPr="00000000" w14:paraId="000000A8">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8. Organización Mundial de la Salud. Pocket book of hospital care for adults: WHO guidelines for the management of common illnesses with limited resources. Ginebra: OMS; 2023.</w:t>
      </w:r>
    </w:p>
    <w:p w:rsidR="00000000" w:rsidDel="00000000" w:rsidP="00000000" w:rsidRDefault="00000000" w:rsidRPr="00000000" w14:paraId="000000A9">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9. Ministerio de Salud y Protección Social de Colombia. Resolución 2063 de 2017: Política Farmacéutica Nacional. Bogotá: MinSalud; 2017.</w:t>
      </w:r>
    </w:p>
    <w:p w:rsidR="00000000" w:rsidDel="00000000" w:rsidP="00000000" w:rsidRDefault="00000000" w:rsidRPr="00000000" w14:paraId="000000AA">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10. Ramirez JA, Wiemken TL, Peyrani P, et al. Adults hospitalized with pneumonia in the United States: incidence, epidemiology, and mortality. Clin Infect Dis. 2017;65(11):1806-1812.</w:t>
      </w:r>
    </w:p>
    <w:p w:rsidR="00000000" w:rsidDel="00000000" w:rsidP="00000000" w:rsidRDefault="00000000" w:rsidRPr="00000000" w14:paraId="000000AB">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11. Ministerio de Salud y Protección Social de Colombia. Ley 1419 de 2010: lineamientos para el desarrollo de la Telesalud en Colombia. Bogotá: MinSalud; 2010.</w:t>
      </w:r>
    </w:p>
    <w:p w:rsidR="00000000" w:rsidDel="00000000" w:rsidP="00000000" w:rsidRDefault="00000000" w:rsidRPr="00000000" w14:paraId="000000AC">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12. Ministerio de Salud y Protección Social de Colombia. Plan Decenal de Salud Pública 2022-2031. Bogotá: MinSalud; 2022.</w:t>
      </w:r>
    </w:p>
    <w:p w:rsidR="00000000" w:rsidDel="00000000" w:rsidP="00000000" w:rsidRDefault="00000000" w:rsidRPr="00000000" w14:paraId="000000AD">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14. Responsables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rFonts w:ascii="Arial" w:cs="Arial" w:eastAsia="Arial" w:hAnsi="Arial"/>
          <w:sz w:val="24"/>
          <w:szCs w:val="24"/>
        </w:rPr>
      </w:pPr>
      <w:bookmarkStart w:colFirst="0" w:colLast="0" w:name="_heading=h.4016pdmwdc84" w:id="0"/>
      <w:bookmarkEnd w:id="0"/>
      <w:r w:rsidDel="00000000" w:rsidR="00000000" w:rsidRPr="00000000">
        <w:rPr>
          <w:rFonts w:ascii="Arial" w:cs="Arial" w:eastAsia="Arial" w:hAnsi="Arial"/>
          <w:b w:val="1"/>
          <w:bCs w:val="1"/>
          <w:sz w:val="24"/>
          <w:szCs w:val="24"/>
          <w:rtl w:val="0"/>
        </w:rPr>
        <w:t xml:space="preserve">REALIZA: ALVARO BURGOS. MED. INTERNISTA. </w:t>
      </w: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bl>
    <w:tblPr>
      <w:tblStyle w:val="Table3"/>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B2">
          <w:pPr>
            <w:jc w:val="center"/>
            <w:rPr>
              <w:sz w:val="28"/>
              <w:szCs w:val="28"/>
            </w:rPr>
          </w:pPr>
          <w:r w:rsidDel="00000000" w:rsidR="00000000" w:rsidRPr="00000000">
            <w:rPr>
              <w:rFonts w:ascii="Arial" w:cs="Arial" w:eastAsia="Arial" w:hAnsi="Arial"/>
              <w:b w:val="1"/>
              <w:bCs w:val="1"/>
              <w:sz w:val="28"/>
              <w:szCs w:val="28"/>
              <w:rtl w:val="0"/>
            </w:rPr>
            <w:t xml:space="preserve">PROTOCOLO DE TELE EXPERTICIA PARA EL MANEJO DE LA NEUMONÍA ADQUIRIDA EN LA COMUNIDAD (NAC)</w:t>
          </w:r>
          <w:r w:rsidDel="00000000" w:rsidR="00000000" w:rsidRPr="00000000">
            <w:rPr>
              <w:rtl w:val="0"/>
            </w:rPr>
          </w:r>
        </w:p>
      </w:tc>
    </w:tr>
    <w:tr>
      <w:trPr>
        <w:cantSplit w:val="0"/>
        <w:trHeight w:val="278" w:hRule="atLeast"/>
        <w:tblHeader w:val="0"/>
      </w:trPr>
      <w:tc>
        <w:tcPr>
          <w:vMerge w:val="continue"/>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d35kSoRf2CLW30FubK9MJ2N22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zIOaC40MDE2cGRtd2RjODQ4AHIhMU1XMWpHcjZaRzVFTWJndmNBcGhyaHpVUnZlb2RxZ3M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