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Programa de Hemoglobinopatías</w:t>
      </w:r>
      <w:r w:rsidDel="00000000" w:rsidR="00000000" w:rsidRPr="00000000">
        <w:rPr>
          <w:rtl w:val="0"/>
        </w:rPr>
      </w:r>
    </w:p>
    <w:p w:rsidR="00000000" w:rsidDel="00000000" w:rsidP="00000000" w:rsidRDefault="00000000" w:rsidRPr="00000000" w14:paraId="00000003">
      <w:pPr>
        <w:pStyle w:val="Heading2"/>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Introducción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anemia de células falciformes (ACF) es la hemoglobinopatía hereditaria más prevalente en el mundo, con aproximadamente 7,74 millones de personas afectadas a nivel global en 2021. Es una enfermedad crónica y multisistémica, cuya fisiopatología se basa en la polimerización de la hemoglobina S bajo condiciones de desoxigenación, lo que genera oclusión microvascular recurrente, hemólisis intravascular crónica y daño orgánico progresivo e irreversible. En Colombia, el diagnóstico es especialmente relevante en poblaciones afrodescendientes de la costa Pacífica (Chocó, Valle del Cauca) y del Caribe (Bolívar, Córdoba).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complicaciones agudas de la ACF como las crisis vaso-oclusivas (CVO), síndrome torácico agudo (STA), secuestro esplénico, crisis aplásica y accidente cerebrovascular (ACV) requieren reconocimiento y manejo urgente y coordinado. En el primer y segundo nivel de atención, donde la cobertura de especialistas en hematología y la disponibilidad de terapias avanzadas (eritroféresis, hidroxiurea) puede ser limitada, la tele-experticia se convierte en una herramienta estratégica para apoyar la toma de decisiones clínicas en tiempo real, optimizando el manejo de las complicaciones agudas y el seguimiento de las complicaciones crónicas.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presente protocolo establece los lineamientos operativos, asistenciales y clínicos para la prestación del servicio de tele-experticia en el manejo de la ACF, aplicable a todos los niveles de atención del sistema de salud colombiano. Define los roles de cada actor involucrado, los criterios de inclusión y exclusión, el flujo operativo, los tiempos de respuesta, los indicadores de calidad y las situaciones que requieren remisión urgente a mayor complejidad.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es un protocolo que se basa en la atención de anemia de células falciformes en primer y segundo nivel, y el plan de seguimiento por telemedicina, no pretende sustituir guías de práctica clínica.</w:t>
      </w:r>
    </w:p>
    <w:p w:rsidR="00000000" w:rsidDel="00000000" w:rsidP="00000000" w:rsidRDefault="00000000" w:rsidRPr="00000000" w14:paraId="00000008">
      <w:pPr>
        <w:pStyle w:val="Heading2"/>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General</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Establecer los lineamientos operativos, asistenciales y clínicos para la prestación del servicio de tele-experticia en el manejo de la anemia de células falciformes, apoyando el reconocimiento y manejo oportuno de las complicaciones agudas (crisis vaso-oclusiva, síndrome torácico agudo, secuestro esplénico, crisis aplásica, accidente cerebrovascular), la optimización del tratamiento modificador de la enfermedad (hidroxiurea) y el seguimiento de las complicaciones crónicas multisistémicas, con el fin de reducir la morbimortalidad prevenible y mejorar la calidad de vida de los pacientes con ACF en todos los niveles del sistema de salud colombiano.</w:t>
      </w:r>
    </w:p>
    <w:p w:rsidR="00000000" w:rsidDel="00000000" w:rsidP="00000000" w:rsidRDefault="00000000" w:rsidRPr="00000000" w14:paraId="0000000A">
      <w:pPr>
        <w:pStyle w:val="Heading2"/>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Objetivos Específicos</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Estandarizar el proceso de solicitud, respuesta, registro y seguimiento de la tele-experticia dentro del programa de hemoglobinopatías para pacientes con sospecha o diagnóstico confirmado de ACF.</w:t>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Orientar el manejo de la crisis vaso-oclusiva en urgencias: analgesia escalonada oportuna (inicio en los primeros 30–60 minutos), hidratación adecuada y criterios de hospitalización o escalada terapéutica.</w:t>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Apoyar el reconocimiento y manejo inicial del síndrome torácico agudo, el secuestro esplénico, la crisis aplásica y el accidente cerebrovascular, incluyendo la indicación y el tipo de transfusión más adecuado.</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Orientar el inicio, ajuste de dosis y monitoreo hematológico de la hidroxiurea, y la selección de tratamientos modificadores de la enfermedad según el perfil clínico del paciente.</w:t>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Apoyar el seguimiento de las complicaciones crónicas multisistémicas (renal, cardiovascular, ósea, ocular, neurológica) y la coordinación del plan de control periódico interdisciplinario.</w:t>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Establecer los criterios clínicos para identificar los casos que requieren remisión urgente a un centro con capacidad de eritroféresis, UCI hematológica o evaluación para trasplante de células madre hematopoyéticas.</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Garantizar que la atención mediante tele-experticia se preocupe por desarrollarse con criterios de calidad, seguridad, pertinencia clínica, confidencialidad, trazabilidad y cumplimiento de la normatividad colombiana vigente.</w:t>
      </w:r>
    </w:p>
    <w:p w:rsidR="00000000" w:rsidDel="00000000" w:rsidP="00000000" w:rsidRDefault="00000000" w:rsidRPr="00000000" w14:paraId="00000012">
      <w:pPr>
        <w:pStyle w:val="Heading2"/>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Alcance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protocolo aplica a todos los profesionales de la salud que atienden pacientes con ACF en cualquier primer y segundo nivel de atención, incluyendo médicos generales, médicos internistas y personal de enfermería. Su ámbito de aplicación comprende:</w:t>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manejo de la crisis vaso-oclusiva en urgencias, incluyendo la analgesia escalonada, la hidratación y los criterios de hospitalización o remisión.</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reconocimiento y manejo inicial de las complicaciones agudas: síndrome torácico agudo (criterios de diagnóstico, indicación de oxígeno suplementario y transfusión), secuestro esplénico, crisis aplásica (aislamiento y soporte transfusional) y ACV isquémico (eritroféresis urgente).</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indicación, inicio, ajuste y monitoreo de la terapia modificadora de la enfermedad: hidroxiurea (dosis, monitoreo hematológico, metas de HbF).</w:t>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orientación sobre el programa transfusional crónico (indicaciones, metas de HbS &lt; 30 %, quelación de hierro) y la eritroféresis terapéutica.</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seguimiento de las complicaciones crónicas multisistémicas y la coordinación del control periódico interdisciplinario con nefrología, cardiología, oftalmología, neurología y traumatología.</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definición de criterios de remisión urgente o programada a centros de mayor complejidad con capacidad de eritroféresis, UCI con disponibilidad de servicio de hematología, o evaluación para terapias avanzadas (TCMH).</w:t>
      </w:r>
    </w:p>
    <w:p w:rsidR="00000000" w:rsidDel="00000000" w:rsidP="00000000" w:rsidRDefault="00000000" w:rsidRPr="00000000" w14:paraId="0000001A">
      <w:pPr>
        <w:pStyle w:val="Heading2"/>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Marco Normativo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presente protocolo se sustenta en la siguiente normatividad colombiana e internacional vigente:</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Resolución 2654 de 2019 (MinSalud):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Regula la prestación de servicios de salud a través de la modalidad de telesalud y telemedicina en Colombia.</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Resolución 3100 de 2019 (MinSalud):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Define los estándares de habilitación en salud.</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Ley 1419 de 2010: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Establece la Política Nacional de Telesalud y dicta otras disposiciones.</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Ley 1581 de 2012: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Disposiciones generales para la protección de datos personales.</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Decreto 538 de 2020: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Medidas en el sector salud para la prestación del servicio mediante telemedicina durante emergencias sanitarias.</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Guías del Ministerio de Salud y Protección Social: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Guías en telesalud y enfermedades de alta complejidad.</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Soporte Clínico Internacional:</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Piel FB, Rees DC, DeBaun MR, et al. Defining global strategies to improve outcomes in sickle cell disease: a Lancet Haematology Commission. Lancet Haematol. 2023.</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Evidence-Based Management of Sickle Cell Disease: Expert Panel Report 2014. National Heart, Lung and Blood Institute (NHLBI).</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Brandow AM, Liem RI. Advances in the diagnosis and treatment of sickle cell disease. J Hematol Oncol. 2022.</w:t>
      </w:r>
      <w:r w:rsidDel="00000000" w:rsidR="00000000" w:rsidRPr="00000000">
        <w:rPr>
          <w:rtl w:val="0"/>
        </w:rPr>
      </w:r>
    </w:p>
    <w:p w:rsidR="00000000" w:rsidDel="00000000" w:rsidP="00000000" w:rsidRDefault="00000000" w:rsidRPr="00000000" w14:paraId="00000026">
      <w:pPr>
        <w:pStyle w:val="Heading2"/>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Definiciones</w:t>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Telesalud: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Conjunto de actividades relacionadas con la salud, servicios y métodos, los cuales se llevan a cabo a distancia con la ayuda de las tecnologías de la información y telecomunicaciones. Incluye, entre otras, la Telemedicina y la Teleeducación en salud. </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Teleapoyo: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Soporte solicitado por un profesional de la salud a otro profesional de la salud a través de tecnologías de la información y comunicaciones en el marco del relacionamiento entre profesionales.</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 la relación a distancia con método de comunicación sincrónico o asincrónico para la provisión de servicios de salud en cualquiera de sus componentes, utilizando tecnologías de información y comunicación entre: a) Dos profesionales de la salud, uno de los cuales atiende presencialmente al usuario y otro atiende a distancia. El profesional que atiende presencialmente al usuario es responsable del tratamiento y de las decisiones y recomendaciones entregadas al paciente y el que atiende a distancia actúa como apoyo o asesor; b) Profesionales de la salud que en junta médica realizan una interconsulta o una asesoría; c) Personal de salud no profesional que solicita el apoyo de un profesional de la salud para la toma de decisiones. </w:t>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Anemia de células falciformes (ACF):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Grupo de trastornos hereditarios de la hemoglobina de carácter autosómico recesivo, causados por una mutación puntual en el gen HBB que produce hemoglobina S (HbS). Bajo condiciones de desoxigenación, la HbS polimeriza distorsionando los eritrocitos, generando oclusión microvascular, hemólisis crónica y daño orgánico progresivo. Las principales formas clínicas son HbSS, HbSC, HbS/β-talasemia y otras formas compuestas.</w:t>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Crisis vaso-oclusiva (CVO):</w:t>
      </w:r>
      <w:sdt>
        <w:sdtPr>
          <w:id w:val="-1622552065"/>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Manifestación cardinal de la ACF. Dolor agudo intenso (EVA ≥ 7/10) por oclusión microvascular, localizado principalmente en huesos largos, espalda, tórax y articulaciones. Es la principal causa de hospitalización. El manejo analgésico debe iniciarse en los primeros 30–60 minutos de la llegada a urgencias.</w:t>
          </w:r>
        </w:sdtContent>
      </w:sdt>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Síndrome torácico agudo (STA):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Infiltrado pulmonar nuevo en la radiografía de tórax asociado a fiebre (&gt; 38,5°C) y/o síntomas respiratorios (tos, taquipnea, dolor torácico, hipoxemia). Segunda causa de hospitalización y principal causa de muerte en adultos con ACF. La etiología es multifactorial (infección, embolia grasa, microtrombosis). Más del 10 % de los episodios en adultos resultan en muerte.</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Secuestro esplénico: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Complicación grave predominante en lactantes y niños. Caída aguda de la hemoglobina (&gt; 2 g/dL respecto al valor basal) con esplenomegalia dolorosa de rápida instauración y signos de hipovolemia. Requiere transfusión urgente. Los episodios recurrentes son indicación de esplenectomía electiva.</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Crisis aplásica: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Caída brusca de hemoglobina con reticulocitopenia (&lt; 1 %), producida en la mayoría de casos por infección con Parvovirus B19. Autolimitada (7–10 días), pero puede requerir transfusión. El paciente debe ser aislado durante la hospitalización por ser transmisible.</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Eritroféresis (exanguinotransfusión parcial):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Técnica de aféresis terapéutica que reemplaza eritrocitos falciformes del paciente por eritrocitos normales, reduciendo rápidamente la fracción de HbS a &lt; 30 %. Indicada en ACV isquémico agudo, STA grave con deterioro respiratorio progresivo, priapismo refractario y </w:t>
      </w:r>
      <w:r w:rsidDel="00000000" w:rsidR="00000000" w:rsidRPr="00000000">
        <w:rPr>
          <w:rFonts w:ascii="Arial" w:cs="Arial" w:eastAsia="Arial" w:hAnsi="Arial"/>
          <w:sz w:val="24"/>
          <w:szCs w:val="24"/>
          <w:rtl w:val="0"/>
        </w:rPr>
        <w:t xml:space="preserve">pre operatorio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cirugías de alto riesgo.</w:t>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Hidroxiurea (hidroxicarbamida):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Fármaco modificador de la enfermedad de primera línea. Induce la producción de hemoglobina fetal (HbF), que inhibe la polimerización de HbS. Reduce la frecuencia de CVO en aproximadamente un 50 %, hospitalizaciones, STA y mortalidad. Dosis: 15–35 mg/kg/día en adultos. Requiere monitoreo hematológico periódico. Contraindicada en el embarazo.</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Programa transfusional crónico: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Indicado en niños con Doppler transcraneal &gt; 200 cm/s (prevención primaria de ACV) y en pacientes con ACV previo (prevención secundaria). Meta: mantener HbS &lt; 30 %. Requiere quelación de hierro para prevenir sobrecarga férrica.</w:t>
      </w:r>
    </w:p>
    <w:p w:rsidR="00000000" w:rsidDel="00000000" w:rsidP="00000000" w:rsidRDefault="00000000" w:rsidRPr="00000000" w14:paraId="00000032">
      <w:pPr>
        <w:pStyle w:val="Heading2"/>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Flujo Operativo y Clínico de Telesalud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complicaciones agudas (CVO, STA, secuestro esplénico, ACV), las medidas inmediatas de soporte como analgesia, hidratación o suministro de oxígeno se deben ejecutar en paralelo o simultáneamente con la solicitud,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nunca retrasarse esperando el concepto del experto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4"/>
          <w:szCs w:val="24"/>
        </w:rPr>
      </w:pPr>
      <w:r w:rsidDel="00000000" w:rsidR="00000000" w:rsidRPr="00000000">
        <w:rPr>
          <w:rtl w:val="0"/>
        </w:rPr>
      </w:r>
    </w:p>
    <w:tbl>
      <w:tblPr>
        <w:tblStyle w:val="Table1"/>
        <w:tblW w:w="8828.0" w:type="dxa"/>
        <w:jc w:val="left"/>
        <w:tblBorders>
          <w:top w:color="9cc2e5" w:space="0" w:sz="4" w:val="single"/>
          <w:left w:color="9cc2e5" w:space="0" w:sz="4" w:val="single"/>
          <w:bottom w:color="9cc2e5" w:space="0" w:sz="4" w:val="single"/>
          <w:right w:color="9cc2e5" w:space="0" w:sz="4" w:val="single"/>
          <w:insideH w:color="9cc2e5" w:space="0" w:sz="4" w:val="single"/>
          <w:insideV w:color="9cc2e5" w:space="0" w:sz="4" w:val="single"/>
        </w:tblBorders>
        <w:tblLayout w:type="fixed"/>
        <w:tblLook w:val="04A0"/>
      </w:tblPr>
      <w:tblGrid>
        <w:gridCol w:w="8828"/>
        <w:tblGridChange w:id="0">
          <w:tblGrid>
            <w:gridCol w:w="8828"/>
          </w:tblGrid>
        </w:tblGridChange>
      </w:tblGrid>
      <w:tr>
        <w:trPr>
          <w:cantSplit w:val="0"/>
          <w:tblHeader w:val="0"/>
        </w:trPr>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612.0" w:type="dxa"/>
              <w:jc w:val="left"/>
              <w:tblLayout w:type="fixed"/>
              <w:tblLook w:val="04A0"/>
            </w:tblPr>
            <w:tblGrid>
              <w:gridCol w:w="8612"/>
              <w:tblGridChange w:id="0">
                <w:tblGrid>
                  <w:gridCol w:w="8612"/>
                </w:tblGrid>
              </w:tblGridChange>
            </w:tblGrid>
            <w:tr>
              <w:trPr>
                <w:cantSplit w:val="0"/>
                <w:tblHeader w:val="0"/>
              </w:trPr>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8396.0" w:type="dxa"/>
                    <w:jc w:val="left"/>
                    <w:tblBorders>
                      <w:top w:color="9cc2e5" w:space="0" w:sz="4" w:val="single"/>
                      <w:bottom w:color="9cc2e5" w:space="0" w:sz="4" w:val="single"/>
                      <w:insideH w:color="9cc2e5" w:space="0" w:sz="4" w:val="single"/>
                      <w:insideV w:color="9cc2e5" w:space="0" w:sz="4" w:val="single"/>
                    </w:tblBorders>
                    <w:tblLayout w:type="fixed"/>
                    <w:tblLook w:val="04A0"/>
                  </w:tblPr>
                  <w:tblGrid>
                    <w:gridCol w:w="839"/>
                    <w:gridCol w:w="216"/>
                    <w:gridCol w:w="1747"/>
                    <w:gridCol w:w="1604"/>
                    <w:gridCol w:w="3990"/>
                    <w:tblGridChange w:id="0">
                      <w:tblGrid>
                        <w:gridCol w:w="839"/>
                        <w:gridCol w:w="216"/>
                        <w:gridCol w:w="1747"/>
                        <w:gridCol w:w="1604"/>
                        <w:gridCol w:w="3990"/>
                      </w:tblGrid>
                    </w:tblGridChange>
                  </w:tblGrid>
                  <w:tr>
                    <w:trPr>
                      <w:cantSplit w:val="0"/>
                      <w:tblHeader w:val="0"/>
                    </w:trPr>
                    <w:tc>
                      <w:tcPr>
                        <w:gridSpan w:val="2"/>
                      </w:tcPr>
                      <w:p w:rsidR="00000000" w:rsidDel="00000000" w:rsidP="00000000" w:rsidRDefault="00000000" w:rsidRPr="00000000" w14:paraId="0000003F">
                        <w:pPr>
                          <w:jc w:val="center"/>
                          <w:rPr>
                            <w:rFonts w:ascii="Arial" w:cs="Arial" w:eastAsia="Arial" w:hAnsi="Arial"/>
                            <w:sz w:val="24"/>
                            <w:szCs w:val="24"/>
                          </w:rPr>
                        </w:pPr>
                        <w:r w:rsidDel="00000000" w:rsidR="00000000" w:rsidRPr="00000000">
                          <w:rPr>
                            <w:rFonts w:ascii="Arial" w:cs="Arial" w:eastAsia="Arial" w:hAnsi="Arial"/>
                            <w:b w:val="0"/>
                            <w:bCs w:val="0"/>
                            <w:sz w:val="24"/>
                            <w:szCs w:val="24"/>
                            <w:rtl w:val="0"/>
                          </w:rPr>
                          <w:t xml:space="preserve">Etapa</w:t>
                        </w:r>
                        <w:r w:rsidDel="00000000" w:rsidR="00000000" w:rsidRPr="00000000">
                          <w:rPr>
                            <w:rtl w:val="0"/>
                          </w:rPr>
                        </w:r>
                      </w:p>
                    </w:tc>
                    <w:tc>
                      <w:tcPr/>
                      <w:p w:rsidR="00000000" w:rsidDel="00000000" w:rsidP="00000000" w:rsidRDefault="00000000" w:rsidRPr="00000000" w14:paraId="00000041">
                        <w:pPr>
                          <w:jc w:val="cente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Actividad</w:t>
                        </w:r>
                      </w:p>
                    </w:tc>
                    <w:tc>
                      <w:tcPr/>
                      <w:p w:rsidR="00000000" w:rsidDel="00000000" w:rsidP="00000000" w:rsidRDefault="00000000" w:rsidRPr="00000000" w14:paraId="00000042">
                        <w:pPr>
                          <w:jc w:val="cente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Responsable</w:t>
                        </w:r>
                      </w:p>
                    </w:tc>
                    <w:tc>
                      <w:tcPr/>
                      <w:p w:rsidR="00000000" w:rsidDel="00000000" w:rsidP="00000000" w:rsidRDefault="00000000" w:rsidRPr="00000000" w14:paraId="00000043">
                        <w:pPr>
                          <w:jc w:val="cente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Acción / Canales / Detalles Clínicos</w:t>
                        </w:r>
                      </w:p>
                    </w:tc>
                  </w:tr>
                  <w:tr>
                    <w:trPr>
                      <w:cantSplit w:val="0"/>
                      <w:tblHeader w:val="0"/>
                    </w:trPr>
                    <w:tc>
                      <w:tcPr/>
                      <w:p w:rsidR="00000000" w:rsidDel="00000000" w:rsidP="00000000" w:rsidRDefault="00000000" w:rsidRPr="00000000" w14:paraId="00000044">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1</w:t>
                        </w:r>
                      </w:p>
                    </w:tc>
                    <w:tc>
                      <w:tcPr>
                        <w:gridSpan w:val="2"/>
                      </w:tcPr>
                      <w:p w:rsidR="00000000" w:rsidDel="00000000" w:rsidP="00000000" w:rsidRDefault="00000000" w:rsidRPr="00000000" w14:paraId="00000045">
                        <w:pPr>
                          <w:rPr>
                            <w:rFonts w:ascii="Arial" w:cs="Arial" w:eastAsia="Arial" w:hAnsi="Arial"/>
                            <w:sz w:val="24"/>
                            <w:szCs w:val="24"/>
                          </w:rPr>
                        </w:pPr>
                        <w:r w:rsidDel="00000000" w:rsidR="00000000" w:rsidRPr="00000000">
                          <w:rPr>
                            <w:rFonts w:ascii="Arial" w:cs="Arial" w:eastAsia="Arial" w:hAnsi="Arial"/>
                            <w:sz w:val="24"/>
                            <w:szCs w:val="24"/>
                            <w:rtl w:val="0"/>
                          </w:rPr>
                          <w:t xml:space="preserve">Identificación de necesidad de tele-experticia asociado a medidas inmediatas</w:t>
                        </w:r>
                      </w:p>
                    </w:tc>
                    <w:tc>
                      <w:tcPr/>
                      <w:p w:rsidR="00000000" w:rsidDel="00000000" w:rsidP="00000000" w:rsidRDefault="00000000" w:rsidRPr="00000000" w14:paraId="00000047">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asistencial presencial</w:t>
                        </w:r>
                      </w:p>
                    </w:tc>
                    <w:tc>
                      <w:tcPr/>
                      <w:p w:rsidR="00000000" w:rsidDel="00000000" w:rsidP="00000000" w:rsidRDefault="00000000" w:rsidRPr="00000000" w14:paraId="00000048">
                        <w:pPr>
                          <w:rPr>
                            <w:rFonts w:ascii="Arial" w:cs="Arial" w:eastAsia="Arial" w:hAnsi="Arial"/>
                            <w:sz w:val="24"/>
                            <w:szCs w:val="24"/>
                          </w:rPr>
                        </w:pPr>
                        <w:sdt>
                          <w:sdtPr>
                            <w:id w:val="-874606588"/>
                            <w:tag w:val="goog_rdk_1"/>
                          </w:sdtPr>
                          <w:sdtContent>
                            <w:r w:rsidDel="00000000" w:rsidR="00000000" w:rsidRPr="00000000">
                              <w:rPr>
                                <w:rFonts w:ascii="Arial Unicode MS" w:cs="Arial Unicode MS" w:eastAsia="Arial Unicode MS" w:hAnsi="Arial Unicode MS"/>
                                <w:sz w:val="24"/>
                                <w:szCs w:val="24"/>
                                <w:rtl w:val="0"/>
                              </w:rPr>
                              <w:t xml:space="preserve">Sospecha clínica de complicación aguda o requerimiento de ajuste de terapia. Aplicación inmediata de medidas básicas (analgesia en ≤30-60 min para CVO, soporte hídrico u O2).</w:t>
                            </w:r>
                          </w:sdtContent>
                        </w:sdt>
                      </w:p>
                    </w:tc>
                  </w:tr>
                  <w:tr>
                    <w:trPr>
                      <w:cantSplit w:val="0"/>
                      <w:tblHeader w:val="0"/>
                    </w:trPr>
                    <w:tc>
                      <w:tcPr/>
                      <w:p w:rsidR="00000000" w:rsidDel="00000000" w:rsidP="00000000" w:rsidRDefault="00000000" w:rsidRPr="00000000" w14:paraId="00000049">
                        <w:pPr>
                          <w:rPr>
                            <w:rFonts w:ascii="Arial" w:cs="Arial" w:eastAsia="Arial" w:hAnsi="Arial"/>
                            <w:sz w:val="24"/>
                            <w:szCs w:val="24"/>
                          </w:rPr>
                        </w:pPr>
                        <w:r w:rsidDel="00000000" w:rsidR="00000000" w:rsidRPr="00000000">
                          <w:rPr>
                            <w:rFonts w:ascii="Arial" w:cs="Arial" w:eastAsia="Arial" w:hAnsi="Arial"/>
                            <w:b w:val="0"/>
                            <w:bCs w:val="0"/>
                            <w:sz w:val="24"/>
                            <w:szCs w:val="24"/>
                            <w:rtl w:val="0"/>
                          </w:rPr>
                          <w:t xml:space="preserve">2</w:t>
                        </w:r>
                        <w:r w:rsidDel="00000000" w:rsidR="00000000" w:rsidRPr="00000000">
                          <w:rPr>
                            <w:rtl w:val="0"/>
                          </w:rPr>
                        </w:r>
                      </w:p>
                    </w:tc>
                    <w:tc>
                      <w:tcPr>
                        <w:gridSpan w:val="2"/>
                      </w:tcPr>
                      <w:p w:rsidR="00000000" w:rsidDel="00000000" w:rsidP="00000000" w:rsidRDefault="00000000" w:rsidRPr="00000000" w14:paraId="0000004A">
                        <w:pPr>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Verificación de requisitos clínicos y consentimiento</w:t>
                        </w:r>
                      </w:p>
                    </w:tc>
                    <w:tc>
                      <w:tcPr/>
                      <w:p w:rsidR="00000000" w:rsidDel="00000000" w:rsidP="00000000" w:rsidRDefault="00000000" w:rsidRPr="00000000" w14:paraId="0000004C">
                        <w:pPr>
                          <w:rPr>
                            <w:rFonts w:ascii="Arial" w:cs="Arial" w:eastAsia="Arial" w:hAnsi="Arial"/>
                            <w:sz w:val="24"/>
                            <w:szCs w:val="24"/>
                          </w:rPr>
                        </w:pPr>
                        <w:r w:rsidDel="00000000" w:rsidR="00000000" w:rsidRPr="00000000">
                          <w:rPr>
                            <w:rFonts w:ascii="Arial" w:cs="Arial" w:eastAsia="Arial" w:hAnsi="Arial"/>
                            <w:sz w:val="24"/>
                            <w:szCs w:val="24"/>
                            <w:rtl w:val="0"/>
                          </w:rPr>
                          <w:t xml:space="preserve">Centro Remisor</w:t>
                        </w:r>
                      </w:p>
                    </w:tc>
                    <w:tc>
                      <w:tcPr/>
                      <w:p w:rsidR="00000000" w:rsidDel="00000000" w:rsidP="00000000" w:rsidRDefault="00000000" w:rsidRPr="00000000" w14:paraId="0000004D">
                        <w:pPr>
                          <w:rPr>
                            <w:rFonts w:ascii="Arial" w:cs="Arial" w:eastAsia="Arial" w:hAnsi="Arial"/>
                            <w:sz w:val="24"/>
                            <w:szCs w:val="24"/>
                          </w:rPr>
                        </w:pPr>
                        <w:r w:rsidDel="00000000" w:rsidR="00000000" w:rsidRPr="00000000">
                          <w:rPr>
                            <w:rFonts w:ascii="Arial" w:cs="Arial" w:eastAsia="Arial" w:hAnsi="Arial"/>
                            <w:sz w:val="24"/>
                            <w:szCs w:val="24"/>
                            <w:rtl w:val="0"/>
                          </w:rPr>
                          <w:t xml:space="preserve">Confirmación de criterios de inclusión. Diligenciamiento obligatorio del consentimiento informado del paciente para uso de telesalud.</w:t>
                        </w:r>
                      </w:p>
                    </w:tc>
                  </w:tr>
                  <w:tr>
                    <w:trPr>
                      <w:cantSplit w:val="0"/>
                      <w:tblHeader w:val="0"/>
                    </w:trPr>
                    <w:tc>
                      <w:tcPr/>
                      <w:p w:rsidR="00000000" w:rsidDel="00000000" w:rsidP="00000000" w:rsidRDefault="00000000" w:rsidRPr="00000000" w14:paraId="0000004E">
                        <w:pPr>
                          <w:rPr>
                            <w:rFonts w:ascii="Arial" w:cs="Arial" w:eastAsia="Arial" w:hAnsi="Arial"/>
                            <w:sz w:val="24"/>
                            <w:szCs w:val="24"/>
                          </w:rPr>
                        </w:pPr>
                        <w:r w:rsidDel="00000000" w:rsidR="00000000" w:rsidRPr="00000000">
                          <w:rPr>
                            <w:rFonts w:ascii="Arial" w:cs="Arial" w:eastAsia="Arial" w:hAnsi="Arial"/>
                            <w:b w:val="0"/>
                            <w:bCs w:val="0"/>
                            <w:sz w:val="24"/>
                            <w:szCs w:val="24"/>
                            <w:rtl w:val="0"/>
                          </w:rPr>
                          <w:t xml:space="preserve">3</w:t>
                        </w:r>
                        <w:r w:rsidDel="00000000" w:rsidR="00000000" w:rsidRPr="00000000">
                          <w:rPr>
                            <w:rtl w:val="0"/>
                          </w:rPr>
                        </w:r>
                      </w:p>
                    </w:tc>
                    <w:tc>
                      <w:tcPr>
                        <w:gridSpan w:val="2"/>
                      </w:tcPr>
                      <w:p w:rsidR="00000000" w:rsidDel="00000000" w:rsidP="00000000" w:rsidRDefault="00000000" w:rsidRPr="00000000" w14:paraId="0000004F">
                        <w:pPr>
                          <w:rPr>
                            <w:rFonts w:ascii="Arial" w:cs="Arial" w:eastAsia="Arial" w:hAnsi="Arial"/>
                            <w:sz w:val="24"/>
                            <w:szCs w:val="24"/>
                          </w:rPr>
                        </w:pPr>
                        <w:r w:rsidDel="00000000" w:rsidR="00000000" w:rsidRPr="00000000">
                          <w:rPr>
                            <w:rFonts w:ascii="Arial" w:cs="Arial" w:eastAsia="Arial" w:hAnsi="Arial"/>
                            <w:sz w:val="24"/>
                            <w:szCs w:val="24"/>
                            <w:rtl w:val="0"/>
                          </w:rPr>
                          <w:t xml:space="preserve">Diligenciamiento de solicitud y envío de datos clínicos</w:t>
                        </w:r>
                      </w:p>
                    </w:tc>
                    <w:tc>
                      <w:tcPr/>
                      <w:p w:rsidR="00000000" w:rsidDel="00000000" w:rsidP="00000000" w:rsidRDefault="00000000" w:rsidRPr="00000000" w14:paraId="00000051">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solicitante</w:t>
                        </w:r>
                      </w:p>
                    </w:tc>
                    <w:tc>
                      <w:tcPr/>
                      <w:p w:rsidR="00000000" w:rsidDel="00000000" w:rsidP="00000000" w:rsidRDefault="00000000" w:rsidRPr="00000000" w14:paraId="00000052">
                        <w:pPr>
                          <w:rPr>
                            <w:rFonts w:ascii="Arial" w:cs="Arial" w:eastAsia="Arial" w:hAnsi="Arial"/>
                            <w:sz w:val="24"/>
                            <w:szCs w:val="24"/>
                          </w:rPr>
                        </w:pPr>
                        <w:r w:rsidDel="00000000" w:rsidR="00000000" w:rsidRPr="00000000">
                          <w:rPr>
                            <w:rFonts w:ascii="Arial" w:cs="Arial" w:eastAsia="Arial" w:hAnsi="Arial"/>
                            <w:sz w:val="24"/>
                            <w:szCs w:val="24"/>
                            <w:rtl w:val="0"/>
                          </w:rPr>
                          <w:t xml:space="preserve">Envío formal de historia clínica con datos clave (genotipo, Hb basal y actual, reticulocitos, SpO2, dosis de hidroxiurea y analgésicos previos) mediante </w:t>
                        </w:r>
                        <w:r w:rsidDel="00000000" w:rsidR="00000000" w:rsidRPr="00000000">
                          <w:rPr>
                            <w:rFonts w:ascii="Arial" w:cs="Arial" w:eastAsia="Arial" w:hAnsi="Arial"/>
                            <w:b w:val="1"/>
                            <w:bCs w:val="1"/>
                            <w:sz w:val="24"/>
                            <w:szCs w:val="24"/>
                            <w:rtl w:val="0"/>
                          </w:rPr>
                          <w:t xml:space="preserve">Teléfonos: 3228234549 - 3228234532 o correo electrónico telemedicina.digital@hun.edu.co</w:t>
                        </w:r>
                        <w:r w:rsidDel="00000000" w:rsidR="00000000" w:rsidRPr="00000000">
                          <w:rPr>
                            <w:rFonts w:ascii="Arial" w:cs="Arial" w:eastAsia="Arial" w:hAnsi="Arial"/>
                            <w:sz w:val="24"/>
                            <w:szCs w:val="24"/>
                            <w:rtl w:val="0"/>
                          </w:rPr>
                          <w:t xml:space="preserve">.</w:t>
                        </w:r>
                      </w:p>
                    </w:tc>
                  </w:tr>
                  <w:tr>
                    <w:trPr>
                      <w:cantSplit w:val="0"/>
                      <w:tblHeader w:val="0"/>
                    </w:trPr>
                    <w:tc>
                      <w:tcPr/>
                      <w:p w:rsidR="00000000" w:rsidDel="00000000" w:rsidP="00000000" w:rsidRDefault="00000000" w:rsidRPr="00000000" w14:paraId="00000053">
                        <w:pPr>
                          <w:rPr>
                            <w:rFonts w:ascii="Arial" w:cs="Arial" w:eastAsia="Arial" w:hAnsi="Arial"/>
                            <w:sz w:val="24"/>
                            <w:szCs w:val="24"/>
                          </w:rPr>
                        </w:pPr>
                        <w:r w:rsidDel="00000000" w:rsidR="00000000" w:rsidRPr="00000000">
                          <w:rPr>
                            <w:rFonts w:ascii="Arial" w:cs="Arial" w:eastAsia="Arial" w:hAnsi="Arial"/>
                            <w:b w:val="0"/>
                            <w:bCs w:val="0"/>
                            <w:sz w:val="24"/>
                            <w:szCs w:val="24"/>
                            <w:rtl w:val="0"/>
                          </w:rPr>
                          <w:t xml:space="preserve">4</w:t>
                        </w:r>
                        <w:r w:rsidDel="00000000" w:rsidR="00000000" w:rsidRPr="00000000">
                          <w:rPr>
                            <w:rtl w:val="0"/>
                          </w:rPr>
                        </w:r>
                      </w:p>
                    </w:tc>
                    <w:tc>
                      <w:tcPr>
                        <w:gridSpan w:val="2"/>
                      </w:tcPr>
                      <w:p w:rsidR="00000000" w:rsidDel="00000000" w:rsidP="00000000" w:rsidRDefault="00000000" w:rsidRPr="00000000" w14:paraId="00000054">
                        <w:pPr>
                          <w:rPr>
                            <w:rFonts w:ascii="Arial" w:cs="Arial" w:eastAsia="Arial" w:hAnsi="Arial"/>
                            <w:sz w:val="24"/>
                            <w:szCs w:val="24"/>
                          </w:rPr>
                        </w:pPr>
                        <w:r w:rsidDel="00000000" w:rsidR="00000000" w:rsidRPr="00000000">
                          <w:rPr>
                            <w:rFonts w:ascii="Arial" w:cs="Arial" w:eastAsia="Arial" w:hAnsi="Arial"/>
                            <w:sz w:val="24"/>
                            <w:szCs w:val="24"/>
                            <w:rtl w:val="0"/>
                          </w:rPr>
                          <w:t xml:space="preserve">Recepción y validación de información</w:t>
                        </w:r>
                      </w:p>
                    </w:tc>
                    <w:tc>
                      <w:tcPr/>
                      <w:p w:rsidR="00000000" w:rsidDel="00000000" w:rsidP="00000000" w:rsidRDefault="00000000" w:rsidRPr="00000000" w14:paraId="00000056">
                        <w:pPr>
                          <w:rPr>
                            <w:rFonts w:ascii="Arial" w:cs="Arial" w:eastAsia="Arial" w:hAnsi="Arial"/>
                            <w:sz w:val="24"/>
                            <w:szCs w:val="24"/>
                          </w:rPr>
                        </w:pPr>
                        <w:r w:rsidDel="00000000" w:rsidR="00000000" w:rsidRPr="00000000">
                          <w:rPr>
                            <w:rFonts w:ascii="Arial" w:cs="Arial" w:eastAsia="Arial" w:hAnsi="Arial"/>
                            <w:sz w:val="24"/>
                            <w:szCs w:val="24"/>
                            <w:rtl w:val="0"/>
                          </w:rPr>
                          <w:t xml:space="preserve">Centro Referente / Profesional experto</w:t>
                        </w:r>
                      </w:p>
                    </w:tc>
                    <w:tc>
                      <w:tcPr/>
                      <w:p w:rsidR="00000000" w:rsidDel="00000000" w:rsidP="00000000" w:rsidRDefault="00000000" w:rsidRPr="00000000" w14:paraId="00000057">
                        <w:pPr>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de la pertinencia y calidad de los datos del paciente. Realización del </w:t>
                        </w:r>
                        <w:r w:rsidDel="00000000" w:rsidR="00000000" w:rsidRPr="00000000">
                          <w:rPr>
                            <w:rFonts w:ascii="Arial" w:cs="Arial" w:eastAsia="Arial" w:hAnsi="Arial"/>
                            <w:b w:val="1"/>
                            <w:bCs w:val="1"/>
                            <w:sz w:val="24"/>
                            <w:szCs w:val="24"/>
                            <w:rtl w:val="0"/>
                          </w:rPr>
                          <w:t xml:space="preserve">cargue administrativo en el sistema Hosvital</w:t>
                        </w:r>
                        <w:r w:rsidDel="00000000" w:rsidR="00000000" w:rsidRPr="00000000">
                          <w:rPr>
                            <w:rFonts w:ascii="Arial" w:cs="Arial" w:eastAsia="Arial" w:hAnsi="Arial"/>
                            <w:sz w:val="24"/>
                            <w:szCs w:val="24"/>
                            <w:rtl w:val="0"/>
                          </w:rPr>
                          <w:t xml:space="preserve">.</w:t>
                        </w:r>
                      </w:p>
                    </w:tc>
                  </w:tr>
                  <w:tr>
                    <w:trPr>
                      <w:cantSplit w:val="0"/>
                      <w:tblHeader w:val="0"/>
                    </w:trPr>
                    <w:tc>
                      <w:tcPr/>
                      <w:p w:rsidR="00000000" w:rsidDel="00000000" w:rsidP="00000000" w:rsidRDefault="00000000" w:rsidRPr="00000000" w14:paraId="00000058">
                        <w:pPr>
                          <w:rPr>
                            <w:rFonts w:ascii="Arial" w:cs="Arial" w:eastAsia="Arial" w:hAnsi="Arial"/>
                            <w:sz w:val="24"/>
                            <w:szCs w:val="24"/>
                          </w:rPr>
                        </w:pPr>
                        <w:r w:rsidDel="00000000" w:rsidR="00000000" w:rsidRPr="00000000">
                          <w:rPr>
                            <w:rFonts w:ascii="Arial" w:cs="Arial" w:eastAsia="Arial" w:hAnsi="Arial"/>
                            <w:b w:val="0"/>
                            <w:bCs w:val="0"/>
                            <w:sz w:val="24"/>
                            <w:szCs w:val="24"/>
                            <w:rtl w:val="0"/>
                          </w:rPr>
                          <w:t xml:space="preserve">5</w:t>
                        </w:r>
                        <w:r w:rsidDel="00000000" w:rsidR="00000000" w:rsidRPr="00000000">
                          <w:rPr>
                            <w:rtl w:val="0"/>
                          </w:rPr>
                        </w:r>
                      </w:p>
                    </w:tc>
                    <w:tc>
                      <w:tcPr>
                        <w:gridSpan w:val="2"/>
                      </w:tcPr>
                      <w:p w:rsidR="00000000" w:rsidDel="00000000" w:rsidP="00000000" w:rsidRDefault="00000000" w:rsidRPr="00000000" w14:paraId="00000059">
                        <w:pPr>
                          <w:rPr>
                            <w:rFonts w:ascii="Arial" w:cs="Arial" w:eastAsia="Arial" w:hAnsi="Arial"/>
                            <w:sz w:val="24"/>
                            <w:szCs w:val="24"/>
                          </w:rPr>
                        </w:pPr>
                        <w:r w:rsidDel="00000000" w:rsidR="00000000" w:rsidRPr="00000000">
                          <w:rPr>
                            <w:rFonts w:ascii="Arial" w:cs="Arial" w:eastAsia="Arial" w:hAnsi="Arial"/>
                            <w:sz w:val="24"/>
                            <w:szCs w:val="24"/>
                            <w:rtl w:val="0"/>
                          </w:rPr>
                          <w:t xml:space="preserve">Análisis de caso y concepto clínico</w:t>
                        </w:r>
                      </w:p>
                    </w:tc>
                    <w:tc>
                      <w:tcPr/>
                      <w:p w:rsidR="00000000" w:rsidDel="00000000" w:rsidP="00000000" w:rsidRDefault="00000000" w:rsidRPr="00000000" w14:paraId="0000005B">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experto</w:t>
                        </w:r>
                      </w:p>
                    </w:tc>
                    <w:tc>
                      <w:tcPr/>
                      <w:p w:rsidR="00000000" w:rsidDel="00000000" w:rsidP="00000000" w:rsidRDefault="00000000" w:rsidRPr="00000000" w14:paraId="0000005C">
                        <w:pPr>
                          <w:rPr>
                            <w:rFonts w:ascii="Arial" w:cs="Arial" w:eastAsia="Arial" w:hAnsi="Arial"/>
                            <w:sz w:val="24"/>
                            <w:szCs w:val="24"/>
                          </w:rPr>
                        </w:pPr>
                        <w:r w:rsidDel="00000000" w:rsidR="00000000" w:rsidRPr="00000000">
                          <w:rPr>
                            <w:rFonts w:ascii="Arial" w:cs="Arial" w:eastAsia="Arial" w:hAnsi="Arial"/>
                            <w:sz w:val="24"/>
                            <w:szCs w:val="24"/>
                            <w:rtl w:val="0"/>
                          </w:rPr>
                          <w:t xml:space="preserve">Valoración diagnóstica y de gravedad del tipo de complicación (aguda vs. crónica). Registro detallado del concepto y prescripciones en la </w:t>
                        </w:r>
                        <w:r w:rsidDel="00000000" w:rsidR="00000000" w:rsidRPr="00000000">
                          <w:rPr>
                            <w:rFonts w:ascii="Arial" w:cs="Arial" w:eastAsia="Arial" w:hAnsi="Arial"/>
                            <w:b w:val="1"/>
                            <w:bCs w:val="1"/>
                            <w:sz w:val="24"/>
                            <w:szCs w:val="24"/>
                            <w:rtl w:val="0"/>
                          </w:rPr>
                          <w:t xml:space="preserve">Historia clínica Hosvital</w:t>
                        </w:r>
                        <w:r w:rsidDel="00000000" w:rsidR="00000000" w:rsidRPr="00000000">
                          <w:rPr>
                            <w:rFonts w:ascii="Arial" w:cs="Arial" w:eastAsia="Arial" w:hAnsi="Arial"/>
                            <w:sz w:val="24"/>
                            <w:szCs w:val="24"/>
                            <w:rtl w:val="0"/>
                          </w:rPr>
                          <w:t xml:space="preserve">.</w:t>
                        </w:r>
                      </w:p>
                    </w:tc>
                  </w:tr>
                  <w:tr>
                    <w:trPr>
                      <w:cantSplit w:val="0"/>
                      <w:tblHeader w:val="0"/>
                    </w:trPr>
                    <w:tc>
                      <w:tcPr/>
                      <w:p w:rsidR="00000000" w:rsidDel="00000000" w:rsidP="00000000" w:rsidRDefault="00000000" w:rsidRPr="00000000" w14:paraId="0000005D">
                        <w:pPr>
                          <w:rPr>
                            <w:rFonts w:ascii="Arial" w:cs="Arial" w:eastAsia="Arial" w:hAnsi="Arial"/>
                            <w:sz w:val="24"/>
                            <w:szCs w:val="24"/>
                          </w:rPr>
                        </w:pPr>
                        <w:r w:rsidDel="00000000" w:rsidR="00000000" w:rsidRPr="00000000">
                          <w:rPr>
                            <w:rFonts w:ascii="Arial" w:cs="Arial" w:eastAsia="Arial" w:hAnsi="Arial"/>
                            <w:b w:val="0"/>
                            <w:bCs w:val="0"/>
                            <w:sz w:val="24"/>
                            <w:szCs w:val="24"/>
                            <w:rtl w:val="0"/>
                          </w:rPr>
                          <w:t xml:space="preserve">6</w:t>
                        </w:r>
                        <w:r w:rsidDel="00000000" w:rsidR="00000000" w:rsidRPr="00000000">
                          <w:rPr>
                            <w:rtl w:val="0"/>
                          </w:rPr>
                        </w:r>
                      </w:p>
                    </w:tc>
                    <w:tc>
                      <w:tcPr>
                        <w:gridSpan w:val="2"/>
                      </w:tcPr>
                      <w:p w:rsidR="00000000" w:rsidDel="00000000" w:rsidP="00000000" w:rsidRDefault="00000000" w:rsidRPr="00000000" w14:paraId="0000005E">
                        <w:pPr>
                          <w:rPr>
                            <w:rFonts w:ascii="Arial" w:cs="Arial" w:eastAsia="Arial" w:hAnsi="Arial"/>
                            <w:sz w:val="24"/>
                            <w:szCs w:val="24"/>
                          </w:rPr>
                        </w:pPr>
                        <w:r w:rsidDel="00000000" w:rsidR="00000000" w:rsidRPr="00000000">
                          <w:rPr>
                            <w:rFonts w:ascii="Arial" w:cs="Arial" w:eastAsia="Arial" w:hAnsi="Arial"/>
                            <w:sz w:val="24"/>
                            <w:szCs w:val="24"/>
                            <w:rtl w:val="0"/>
                          </w:rPr>
                          <w:t xml:space="preserve">Envío de ordenamiento e implementación</w:t>
                        </w:r>
                      </w:p>
                    </w:tc>
                    <w:tc>
                      <w:tcPr/>
                      <w:p w:rsidR="00000000" w:rsidDel="00000000" w:rsidP="00000000" w:rsidRDefault="00000000" w:rsidRPr="00000000" w14:paraId="00000060">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experto / Profesional solicitante</w:t>
                        </w:r>
                      </w:p>
                    </w:tc>
                    <w:tc>
                      <w:tcPr/>
                      <w:p w:rsidR="00000000" w:rsidDel="00000000" w:rsidP="00000000" w:rsidRDefault="00000000" w:rsidRPr="00000000" w14:paraId="00000061">
                        <w:pPr>
                          <w:rPr>
                            <w:rFonts w:ascii="Arial" w:cs="Arial" w:eastAsia="Arial" w:hAnsi="Arial"/>
                            <w:sz w:val="24"/>
                            <w:szCs w:val="24"/>
                          </w:rPr>
                        </w:pPr>
                        <w:r w:rsidDel="00000000" w:rsidR="00000000" w:rsidRPr="00000000">
                          <w:rPr>
                            <w:rFonts w:ascii="Arial" w:cs="Arial" w:eastAsia="Arial" w:hAnsi="Arial"/>
                            <w:sz w:val="24"/>
                            <w:szCs w:val="24"/>
                            <w:rtl w:val="0"/>
                          </w:rPr>
                          <w:t xml:space="preserve">Remisión del concepto clínico y de las pautas terapéuticas específicas </w:t>
                        </w:r>
                        <w:r w:rsidDel="00000000" w:rsidR="00000000" w:rsidRPr="00000000">
                          <w:rPr>
                            <w:rFonts w:ascii="Arial" w:cs="Arial" w:eastAsia="Arial" w:hAnsi="Arial"/>
                            <w:b w:val="1"/>
                            <w:bCs w:val="1"/>
                            <w:sz w:val="24"/>
                            <w:szCs w:val="24"/>
                            <w:rtl w:val="0"/>
                          </w:rPr>
                          <w:t xml:space="preserve">a través de correo corporativo</w:t>
                        </w:r>
                        <w:r w:rsidDel="00000000" w:rsidR="00000000" w:rsidRPr="00000000">
                          <w:rPr>
                            <w:rFonts w:ascii="Arial" w:cs="Arial" w:eastAsia="Arial" w:hAnsi="Arial"/>
                            <w:sz w:val="24"/>
                            <w:szCs w:val="24"/>
                            <w:rtl w:val="0"/>
                          </w:rPr>
                          <w:t xml:space="preserve">. Aplicación y seguimiento por el equipo tratante local.</w:t>
                        </w:r>
                      </w:p>
                    </w:tc>
                  </w:tr>
                </w:tbl>
                <w:p w:rsidR="00000000" w:rsidDel="00000000" w:rsidP="00000000" w:rsidRDefault="00000000" w:rsidRPr="00000000" w14:paraId="00000062">
                  <w:pPr>
                    <w:rPr/>
                  </w:pP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tc>
      </w:tr>
    </w:tbl>
    <w:p w:rsidR="00000000" w:rsidDel="00000000" w:rsidP="00000000" w:rsidRDefault="00000000" w:rsidRPr="00000000" w14:paraId="00000064">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Criterios de Inclusión / Exclusión Clínicos en Telesalud</w:t>
      </w:r>
    </w:p>
    <w:p w:rsidR="00000000" w:rsidDel="00000000" w:rsidP="00000000" w:rsidRDefault="00000000" w:rsidRPr="00000000" w14:paraId="00000065">
      <w:pPr>
        <w:pStyle w:val="Heading3"/>
        <w:rPr>
          <w:rFonts w:ascii="Arial" w:cs="Arial" w:eastAsia="Arial" w:hAnsi="Arial"/>
        </w:rPr>
      </w:pPr>
      <w:r w:rsidDel="00000000" w:rsidR="00000000" w:rsidRPr="00000000">
        <w:rPr>
          <w:rFonts w:ascii="Arial" w:cs="Arial" w:eastAsia="Arial" w:hAnsi="Arial"/>
          <w:rtl w:val="0"/>
        </w:rPr>
        <w:t xml:space="preserve">Criterios de Inclusión</w:t>
      </w:r>
    </w:p>
    <w:p w:rsidR="00000000" w:rsidDel="00000000" w:rsidP="00000000" w:rsidRDefault="00000000" w:rsidRPr="00000000" w14:paraId="000000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con diagnóstico confirmado de ACF (cualquier genotipo) que presenten una complicación agudizada (CVO, STA, secuestro esplénico, crisis aplásica, priapismo) en un nivel asistencial donde se requiere orientación para el manejo específico o la decisión de remisión.</w:t>
      </w:r>
    </w:p>
    <w:p w:rsidR="00000000" w:rsidDel="00000000" w:rsidP="00000000" w:rsidRDefault="00000000" w:rsidRPr="00000000" w14:paraId="000000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con ACF y CVO refractaria al manejo analgésico inicial en urgencias (sin mejoría en 2–4 horas con analgesia adecuada, incluyendo opioides) en quienes se requiere orientación sobre escalada o ajuste terapéutico.</w:t>
      </w:r>
    </w:p>
    <w:p w:rsidR="00000000" w:rsidDel="00000000" w:rsidP="00000000" w:rsidRDefault="00000000" w:rsidRPr="00000000" w14:paraId="000000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con ACF y sospecha de STA (infiltrado pulmonar asociado a fiebre y/o hipoxemia) en quienes se requiere orientación sobre la indicación de transfusión simple vs. eritroféresis y el soporte ventilatorio.</w:t>
      </w:r>
    </w:p>
    <w:p w:rsidR="00000000" w:rsidDel="00000000" w:rsidP="00000000" w:rsidRDefault="00000000" w:rsidRPr="00000000" w14:paraId="000000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con ACF en quienes se requiere orientación para el inicio, la titulación de dosis o el monitoreo de la terapia modificadora de la enfermedad (hidroxiurea), incluyendo el manejo de efectos adversos o la falta de respuesta al tratamiento.</w:t>
      </w:r>
    </w:p>
    <w:p w:rsidR="00000000" w:rsidDel="00000000" w:rsidP="00000000" w:rsidRDefault="00000000" w:rsidRPr="00000000" w14:paraId="000000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1026280009"/>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Pacientes con ACF en programa transfusional crónico o con sobrecarga de hierro documentada (ferritina &gt; 1.000 µg/L o ≥ 20 unidades de glóbulos rojos acumuladas) en quienes se requiere orientación sobre el agente quelante y el monitoreo del tratamiento.</w:t>
          </w:r>
        </w:sdtContent>
      </w:sdt>
    </w:p>
    <w:p w:rsidR="00000000" w:rsidDel="00000000" w:rsidP="00000000" w:rsidRDefault="00000000" w:rsidRPr="00000000" w14:paraId="000000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con ACF en seguimiento por complicaciones crónicas multisistémicas (renal, cardiovascular, ósea, ocular, neurológica) que requieren coordinación del plan de control interdisciplinario o ajuste del manejo.</w:t>
      </w:r>
    </w:p>
    <w:p w:rsidR="00000000" w:rsidDel="00000000" w:rsidP="00000000" w:rsidRDefault="00000000" w:rsidRPr="00000000" w14:paraId="0000006C">
      <w:pPr>
        <w:pStyle w:val="Heading3"/>
        <w:rPr>
          <w:rFonts w:ascii="Arial" w:cs="Arial" w:eastAsia="Arial" w:hAnsi="Arial"/>
        </w:rPr>
      </w:pPr>
      <w:r w:rsidDel="00000000" w:rsidR="00000000" w:rsidRPr="00000000">
        <w:rPr>
          <w:rFonts w:ascii="Arial" w:cs="Arial" w:eastAsia="Arial" w:hAnsi="Arial"/>
          <w:rtl w:val="0"/>
        </w:rPr>
        <w:t xml:space="preserve">Criterios de Exclusión (Criterios de Remisión Inmediata)</w:t>
      </w:r>
    </w:p>
    <w:p w:rsidR="00000000" w:rsidDel="00000000" w:rsidP="00000000" w:rsidRDefault="00000000" w:rsidRPr="00000000" w14:paraId="0000006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con ACF y ACV isquémico agudo: requieren remisión urgente inmediata a un centro con capacidad de eritroféresis y neurología. La tele-experticia puede apoyar de forma sincrónica en paralelo al proceso de traslado, pero no debe retrasarlo.</w:t>
      </w:r>
    </w:p>
    <w:p w:rsidR="00000000" w:rsidDel="00000000" w:rsidP="00000000" w:rsidRDefault="00000000" w:rsidRPr="00000000" w14:paraId="0000006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con ACF y STA con hipoxemia grave refractaria (SpO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&lt; 88 % con oxígeno de alto flujo) o deterioro respiratorio progresivo con necesidad de intubación urgente: requieren UCI y manejo presencial. La eritroféresis debe gestionarse simultáneamente con el traslado.</w:t>
      </w:r>
    </w:p>
    <w:p w:rsidR="00000000" w:rsidDel="00000000" w:rsidP="00000000" w:rsidRDefault="00000000" w:rsidRPr="00000000" w14:paraId="0000006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con ACF y secuestro esplénico con inestabilidad hemodinámica grave (hipovolemia refractaria): la transfusión debe iniciarse de inmediato sin esperar el concepto de tele-experticia; esta puede apoyar en paralelo.</w:t>
      </w:r>
    </w:p>
    <w:p w:rsidR="00000000" w:rsidDel="00000000" w:rsidP="00000000" w:rsidRDefault="00000000" w:rsidRPr="00000000" w14:paraId="0000007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con ACF y priapismo de &gt; 4 horas de evolución con fracaso del manejo médico inicial: requieren evaluación urológica presencial urgente. La tele-experticia puede orientar el manejo médico previo a la consulta urológica.</w:t>
      </w:r>
    </w:p>
    <w:p w:rsidR="00000000" w:rsidDel="00000000" w:rsidP="00000000" w:rsidRDefault="00000000" w:rsidRPr="00000000" w14:paraId="0000007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Casos en los que no sea técnicamente posible realizar la atención mediante los canales institucionales definidos (falla de conectividad absoluta, o ausencia de datos clínicos mínimos: hemograma, SpO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signos vitales y descripción del cuadro clínico).</w:t>
      </w:r>
    </w:p>
    <w:p w:rsidR="00000000" w:rsidDel="00000000" w:rsidP="00000000" w:rsidRDefault="00000000" w:rsidRPr="00000000" w14:paraId="00000072">
      <w:pPr>
        <w:pStyle w:val="Heading2"/>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pStyle w:val="Heading2"/>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Roles y Responsabilidades en Telesalud</w:t>
      </w:r>
    </w:p>
    <w:p w:rsidR="00000000" w:rsidDel="00000000" w:rsidP="00000000" w:rsidRDefault="00000000" w:rsidRPr="00000000" w14:paraId="00000075">
      <w:pPr>
        <w:pStyle w:val="Heading3"/>
        <w:rPr>
          <w:rFonts w:ascii="Arial" w:cs="Arial" w:eastAsia="Arial" w:hAnsi="Arial"/>
        </w:rPr>
      </w:pPr>
      <w:r w:rsidDel="00000000" w:rsidR="00000000" w:rsidRPr="00000000">
        <w:rPr>
          <w:rFonts w:ascii="Arial" w:cs="Arial" w:eastAsia="Arial" w:hAnsi="Arial"/>
          <w:rtl w:val="0"/>
        </w:rPr>
        <w:t xml:space="preserve">Profesional Solicitante (Centro Remisor)</w:t>
      </w:r>
    </w:p>
    <w:p w:rsidR="00000000" w:rsidDel="00000000" w:rsidP="00000000" w:rsidRDefault="00000000" w:rsidRPr="00000000" w14:paraId="0000007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Generar la solicitud formal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tele-experticia a través de los canales establecidos.</w:t>
      </w:r>
    </w:p>
    <w:p w:rsidR="00000000" w:rsidDel="00000000" w:rsidP="00000000" w:rsidRDefault="00000000" w:rsidRPr="00000000" w14:paraId="0000007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Garantizar información clínica clara, completa y pertinente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documentando el genotipo de ACF, hemoglobina basal y actual, reticulocitos, LDH, bilirrubina, SpO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medicamentos modificadores en curso y antecedentes de aloinmunización.</w:t>
      </w:r>
    </w:p>
    <w:p w:rsidR="00000000" w:rsidDel="00000000" w:rsidP="00000000" w:rsidRDefault="00000000" w:rsidRPr="00000000" w14:paraId="0000007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Iniciar de inmediato las medidas de soporte</w:t>
      </w:r>
      <w:sdt>
        <w:sdtPr>
          <w:id w:val="1214798391"/>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ante cualquier complicación aguda: analgesia escalonada (inicio en ≤ 30–60 minutos de la llegada a urgencias), hidratación adecuada y suplemento de O</w:t>
          </w:r>
        </w:sdtContent>
      </w:sdt>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 SpO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&lt; 95 %. Estas medidas son anteriores e independientes del concepto del experto.</w:t>
      </w:r>
    </w:p>
    <w:p w:rsidR="00000000" w:rsidDel="00000000" w:rsidP="00000000" w:rsidRDefault="00000000" w:rsidRPr="00000000" w14:paraId="0000007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Asegurar el consentimiento informado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del paciente de manera formal para el uso de medios tecnológicos y telemedicina.</w:t>
      </w:r>
    </w:p>
    <w:p w:rsidR="00000000" w:rsidDel="00000000" w:rsidP="00000000" w:rsidRDefault="00000000" w:rsidRPr="00000000" w14:paraId="0000007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Realizar las acciones derivadas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las recomendaciones emitidas por el especialista y registrar de forma exhaustiva el concepto y conducta final adoptada en la historia clínica del centro.</w:t>
      </w:r>
    </w:p>
    <w:p w:rsidR="00000000" w:rsidDel="00000000" w:rsidP="00000000" w:rsidRDefault="00000000" w:rsidRPr="00000000" w14:paraId="0000007B">
      <w:pPr>
        <w:pStyle w:val="Heading3"/>
        <w:rPr>
          <w:rFonts w:ascii="Arial" w:cs="Arial" w:eastAsia="Arial" w:hAnsi="Arial"/>
        </w:rPr>
      </w:pPr>
      <w:r w:rsidDel="00000000" w:rsidR="00000000" w:rsidRPr="00000000">
        <w:rPr>
          <w:rFonts w:ascii="Arial" w:cs="Arial" w:eastAsia="Arial" w:hAnsi="Arial"/>
          <w:rtl w:val="0"/>
        </w:rPr>
        <w:t xml:space="preserve">Profesional Experto (Centro Referente)</w:t>
      </w:r>
    </w:p>
    <w:p w:rsidR="00000000" w:rsidDel="00000000" w:rsidP="00000000" w:rsidRDefault="00000000" w:rsidRPr="00000000" w14:paraId="0000007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Analizar la información recibida y emitir el concepto técnico-clínico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 recomendaciones específicas aplicables al contexto local del solicitante.</w:t>
      </w:r>
    </w:p>
    <w:p w:rsidR="00000000" w:rsidDel="00000000" w:rsidP="00000000" w:rsidRDefault="00000000" w:rsidRPr="00000000" w14:paraId="0000007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Garantizar recomendaciones fundamentadas en la evidencia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científica más reciente para guiar el manejo analgésico, transfusional (simple vs. eritroféresis) y de soporte.</w:t>
      </w:r>
    </w:p>
    <w:p w:rsidR="00000000" w:rsidDel="00000000" w:rsidP="00000000" w:rsidRDefault="00000000" w:rsidRPr="00000000" w14:paraId="0000007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Orientar la selección y optimización del tratamiento modificador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(hidroxiurea) estipulando dosis, metas de HbF y parámetros de monitoreo hematológico seguro.</w:t>
      </w:r>
    </w:p>
    <w:p w:rsidR="00000000" w:rsidDel="00000000" w:rsidP="00000000" w:rsidRDefault="00000000" w:rsidRPr="00000000" w14:paraId="0000007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Indicar los criterios y el nivel de urgencia de remisión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 justificación explícita cuando el caso supere la capacidad instalada local.</w:t>
      </w:r>
    </w:p>
    <w:p w:rsidR="00000000" w:rsidDel="00000000" w:rsidP="00000000" w:rsidRDefault="00000000" w:rsidRPr="00000000" w14:paraId="0000008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Registrar la opinión médica en la historia clínica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institucional (Hosvital) garantizando la trazabilidad con fecha y hora.</w:t>
      </w:r>
    </w:p>
    <w:p w:rsidR="00000000" w:rsidDel="00000000" w:rsidP="00000000" w:rsidRDefault="00000000" w:rsidRPr="00000000" w14:paraId="0000008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Respetar y cumplir los tiempos de respuesta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establecidos para salvaguardar la vida del paciente.</w:t>
      </w:r>
    </w:p>
    <w:p w:rsidR="00000000" w:rsidDel="00000000" w:rsidP="00000000" w:rsidRDefault="00000000" w:rsidRPr="00000000" w14:paraId="00000082">
      <w:pPr>
        <w:pStyle w:val="Heading3"/>
        <w:rPr>
          <w:rFonts w:ascii="Arial" w:cs="Arial" w:eastAsia="Arial" w:hAnsi="Arial"/>
        </w:rPr>
      </w:pPr>
      <w:r w:rsidDel="00000000" w:rsidR="00000000" w:rsidRPr="00000000">
        <w:rPr>
          <w:rFonts w:ascii="Arial" w:cs="Arial" w:eastAsia="Arial" w:hAnsi="Arial"/>
          <w:rtl w:val="0"/>
        </w:rPr>
        <w:t xml:space="preserve">Equipo de Soporte Tecnológico</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Garantizar la disponibilidad, seguridad y trazabilidad de las plataformas tecnológicas de comunicación corporativas.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Asegurar el cumplimiento estricto de las condiciones de confidencialidad y reserva de datos clínicos conforme a la Ley 1581 de 2012.</w:t>
      </w:r>
    </w:p>
    <w:p w:rsidR="00000000" w:rsidDel="00000000" w:rsidP="00000000" w:rsidRDefault="00000000" w:rsidRPr="00000000" w14:paraId="00000085">
      <w:pPr>
        <w:pStyle w:val="Heading3"/>
        <w:rPr>
          <w:rFonts w:ascii="Arial" w:cs="Arial" w:eastAsia="Arial" w:hAnsi="Arial"/>
        </w:rPr>
      </w:pPr>
      <w:r w:rsidDel="00000000" w:rsidR="00000000" w:rsidRPr="00000000">
        <w:rPr>
          <w:rFonts w:ascii="Arial" w:cs="Arial" w:eastAsia="Arial" w:hAnsi="Arial"/>
          <w:rtl w:val="0"/>
        </w:rPr>
        <w:t xml:space="preserve">Equipo de Gestión Clínica / Calidad</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Monitorizar periódicamente la adherencia al protocolo a través de auditorías de casos e indicadores establecidos.</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Evaluar el impacto de la tele-experticia en la oportunidad de la analgesia y la seguridad transfusional.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Tiempos de Respuesta Sugeridos</w:t>
      </w:r>
    </w:p>
    <w:p w:rsidR="00000000" w:rsidDel="00000000" w:rsidP="00000000" w:rsidRDefault="00000000" w:rsidRPr="00000000" w14:paraId="00000093">
      <w:pPr>
        <w:rPr/>
      </w:pPr>
      <w:r w:rsidDel="00000000" w:rsidR="00000000" w:rsidRPr="00000000">
        <w:rPr>
          <w:rtl w:val="0"/>
        </w:rPr>
      </w:r>
    </w:p>
    <w:tbl>
      <w:tblPr>
        <w:tblStyle w:val="Table4"/>
        <w:tblW w:w="8828.0" w:type="dxa"/>
        <w:jc w:val="left"/>
        <w:tblLayout w:type="fixed"/>
        <w:tblLook w:val="0400"/>
      </w:tblPr>
      <w:tblGrid>
        <w:gridCol w:w="3466"/>
        <w:gridCol w:w="1948"/>
        <w:gridCol w:w="3414"/>
        <w:tblGridChange w:id="0">
          <w:tblGrid>
            <w:gridCol w:w="3466"/>
            <w:gridCol w:w="1948"/>
            <w:gridCol w:w="341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94">
            <w:pP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ffffff"/>
                <w:sz w:val="20"/>
                <w:szCs w:val="20"/>
                <w:rtl w:val="0"/>
              </w:rPr>
              <w:t xml:space="preserve">Tipo de solicitud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95">
            <w:pP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ffffff"/>
                <w:sz w:val="20"/>
                <w:szCs w:val="20"/>
                <w:rtl w:val="0"/>
              </w:rPr>
              <w:t xml:space="preserve">Tiempo de respuesta sugerido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96">
            <w:pP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ffffff"/>
                <w:sz w:val="20"/>
                <w:szCs w:val="20"/>
                <w:rtl w:val="0"/>
              </w:rPr>
              <w:t xml:space="preserve">Observaciones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ACV isquémico agudo en paciente con ACF: decisión de eritroféresis urgente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&lt; 15 minutos (sincrónica)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Gestionar traslado simultáneamente; no demorar por espera del concepto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STA con hipoxemia activa (SpO</w:t>
            </w:r>
            <w:r w:rsidDel="00000000" w:rsidR="00000000" w:rsidRPr="00000000">
              <w:rPr>
                <w:rFonts w:ascii="Cambria Math" w:cs="Cambria Math" w:eastAsia="Cambria Math" w:hAnsi="Cambria Math"/>
                <w:color w:val="000000"/>
                <w:sz w:val="20"/>
                <w:szCs w:val="20"/>
                <w:rtl w:val="0"/>
              </w:rPr>
              <w:t xml:space="preserve">₂</w:t>
            </w:r>
            <w:r w:rsidDel="00000000" w:rsidR="00000000" w:rsidRPr="00000000">
              <w:rPr>
                <w:rFonts w:ascii="Arial" w:cs="Arial" w:eastAsia="Arial" w:hAnsi="Arial"/>
                <w:color w:val="000000"/>
                <w:sz w:val="20"/>
                <w:szCs w:val="20"/>
                <w:rtl w:val="0"/>
              </w:rPr>
              <w:t xml:space="preserve"> &lt; 92 %): indicación de O</w:t>
            </w:r>
            <w:r w:rsidDel="00000000" w:rsidR="00000000" w:rsidRPr="00000000">
              <w:rPr>
                <w:rFonts w:ascii="Cambria Math" w:cs="Cambria Math" w:eastAsia="Cambria Math" w:hAnsi="Cambria Math"/>
                <w:color w:val="000000"/>
                <w:sz w:val="20"/>
                <w:szCs w:val="20"/>
                <w:rtl w:val="0"/>
              </w:rPr>
              <w:t xml:space="preserve">₂</w:t>
            </w:r>
            <w:r w:rsidDel="00000000" w:rsidR="00000000" w:rsidRPr="00000000">
              <w:rPr>
                <w:rFonts w:ascii="Arial" w:cs="Arial" w:eastAsia="Arial" w:hAnsi="Arial"/>
                <w:color w:val="000000"/>
                <w:sz w:val="20"/>
                <w:szCs w:val="20"/>
                <w:rtl w:val="0"/>
              </w:rPr>
              <w:t xml:space="preserve"> y transfusión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&lt; 15 minutos (sincrónica)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Iniciar O</w:t>
            </w:r>
            <w:r w:rsidDel="00000000" w:rsidR="00000000" w:rsidRPr="00000000">
              <w:rPr>
                <w:rFonts w:ascii="Cambria Math" w:cs="Cambria Math" w:eastAsia="Cambria Math" w:hAnsi="Cambria Math"/>
                <w:color w:val="000000"/>
                <w:sz w:val="20"/>
                <w:szCs w:val="20"/>
                <w:rtl w:val="0"/>
              </w:rPr>
              <w:t xml:space="preserve">₂</w:t>
            </w:r>
            <w:r w:rsidDel="00000000" w:rsidR="00000000" w:rsidRPr="00000000">
              <w:rPr>
                <w:rFonts w:ascii="Arial" w:cs="Arial" w:eastAsia="Arial" w:hAnsi="Arial"/>
                <w:color w:val="000000"/>
                <w:sz w:val="20"/>
                <w:szCs w:val="20"/>
                <w:rtl w:val="0"/>
              </w:rPr>
              <w:t xml:space="preserve"> y soporte inmediato; no esperar concepto para esta medida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Secuestro esplénico con anemia aguda severa: indicación de transfusión urgente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&lt; 15 minutos (sincrónica)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Transfundir de inmediato si hay compromiso hemodinámico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CVO refractaria a analgesia inicial en urgencias (sin mejora en 2–4 horas)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&lt; 30 minutos (sincrónica)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Incluir tipo y dosis de analgesia administrada y EVA actual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Priapismo &gt; 4 horas sin respuesta al manejo médico inicial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&lt; 30 minutos (sincrónica)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Requiere coordinación con urología presencial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Inicio, ajuste o monitoreo de hidroxiurea u otro agente modificador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24–48 horas (asincrónica)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Incluir hemograma de control, dosis actual y HbF si disponible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Seguimiento de complicación crónica: renal, cardiovascular, ósea, ocular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48–72 horas (asincrónica)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Tele-experticia programada; coordinación interdisciplinaria</w:t>
            </w:r>
            <w:r w:rsidDel="00000000" w:rsidR="00000000" w:rsidRPr="00000000">
              <w:rPr>
                <w:rtl w:val="0"/>
              </w:rPr>
            </w:r>
          </w:p>
        </w:tc>
      </w:tr>
    </w:tbl>
    <w:p w:rsidR="00000000" w:rsidDel="00000000" w:rsidP="00000000" w:rsidRDefault="00000000" w:rsidRPr="00000000" w14:paraId="000000AC">
      <w:pPr>
        <w:spacing w:after="120" w:before="60"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iCs w:val="1"/>
          <w:color w:val="555555"/>
          <w:sz w:val="18"/>
          <w:szCs w:val="18"/>
          <w:rtl w:val="0"/>
        </w:rPr>
        <w:t xml:space="preserve">Tabla 2. Tiempos de respuesta sugeridos según la urgencia clínica del caso.</w:t>
      </w:r>
      <w:r w:rsidDel="00000000" w:rsidR="00000000" w:rsidRPr="00000000">
        <w:rPr>
          <w:rtl w:val="0"/>
        </w:rPr>
      </w:r>
    </w:p>
    <w:p w:rsidR="00000000" w:rsidDel="00000000" w:rsidP="00000000" w:rsidRDefault="00000000" w:rsidRPr="00000000" w14:paraId="000000AD">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Estrategias de Humanización Digital</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atención virtual de patologías crónicas estigmatizantes y dolorosas como la ACF debe preservar la empatía y la dignidad:</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Explicación compasiva del modelo: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Informar al paciente y sus familiares que su caso está siendo analizado por un especialista en hematología a distancia para definir la mejor estrategia contra el dolor y las complicaciones en tiempo real.</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Seguridad y confianza: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Asegurar que el uso de imágenes y datos clínicos cumple estrictos estándares de confidencialidad institucional.</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Diálogo Intercultural: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Reconocer, respetar y valorar las diferencias culturales, creencias y saberes del paciente y su entorno familiar frente a la enfermedad. Dado que la ACF prevalece con frecuencia en regiones con un fuerte arraigo de saberes tradicionales (como la costa Pacífica y Caribe), el profesional presencial actuará como un puente lingüístico y cultural. Su rol es traducir los conceptos científicos del hematólogo experto a un lenguaje cercano, comprensible y compasivo, integrando el respeto por la identidad cultural de la población con el fin de generar confianza mutua y garantizar la adherencia informada a los tratamientos urgentes o modificadores.</w:t>
      </w:r>
    </w:p>
    <w:p w:rsidR="00000000" w:rsidDel="00000000" w:rsidP="00000000" w:rsidRDefault="00000000" w:rsidRPr="00000000" w14:paraId="000000B2">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Indicadores de Calidad y Seguimiento</w:t>
      </w:r>
    </w:p>
    <w:p w:rsidR="00000000" w:rsidDel="00000000" w:rsidP="00000000" w:rsidRDefault="00000000" w:rsidRPr="00000000" w14:paraId="000000B3">
      <w:pPr>
        <w:rPr/>
      </w:pPr>
      <w:r w:rsidDel="00000000" w:rsidR="00000000" w:rsidRPr="00000000">
        <w:rPr>
          <w:rtl w:val="0"/>
        </w:rPr>
      </w:r>
    </w:p>
    <w:tbl>
      <w:tblPr>
        <w:tblStyle w:val="Table5"/>
        <w:tblW w:w="8828.0" w:type="dxa"/>
        <w:jc w:val="left"/>
        <w:tblLayout w:type="fixed"/>
        <w:tblLook w:val="0400"/>
      </w:tblPr>
      <w:tblGrid>
        <w:gridCol w:w="3273"/>
        <w:gridCol w:w="4348"/>
        <w:gridCol w:w="1207"/>
        <w:tblGridChange w:id="0">
          <w:tblGrid>
            <w:gridCol w:w="3273"/>
            <w:gridCol w:w="4348"/>
            <w:gridCol w:w="1207"/>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4">
            <w:pP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ffffff"/>
                <w:sz w:val="20"/>
                <w:szCs w:val="20"/>
                <w:rtl w:val="0"/>
              </w:rPr>
              <w:t xml:space="preserve">Indicador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5">
            <w:pP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ffffff"/>
                <w:sz w:val="20"/>
                <w:szCs w:val="20"/>
                <w:rtl w:val="0"/>
              </w:rPr>
              <w:t xml:space="preserve">Definición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6">
            <w:pP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ffffff"/>
                <w:sz w:val="20"/>
                <w:szCs w:val="20"/>
                <w:rtl w:val="0"/>
              </w:rPr>
              <w:t xml:space="preserve">Meta sugerida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Tiempo de inicio de analgesia en CVO en urgencias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spacing w:line="240" w:lineRule="auto"/>
              <w:rPr>
                <w:rFonts w:ascii="Times New Roman" w:cs="Times New Roman" w:eastAsia="Times New Roman" w:hAnsi="Times New Roman"/>
                <w:sz w:val="24"/>
                <w:szCs w:val="24"/>
              </w:rPr>
            </w:pPr>
            <w:sdt>
              <w:sdtPr>
                <w:id w:val="2101266236"/>
                <w:tag w:val="goog_rdk_4"/>
              </w:sdtPr>
              <w:sdtContent>
                <w:r w:rsidDel="00000000" w:rsidR="00000000" w:rsidRPr="00000000">
                  <w:rPr>
                    <w:rFonts w:ascii="Arial Unicode MS" w:cs="Arial Unicode MS" w:eastAsia="Arial Unicode MS" w:hAnsi="Arial Unicode MS"/>
                    <w:color w:val="000000"/>
                    <w:sz w:val="20"/>
                    <w:szCs w:val="20"/>
                    <w:rtl w:val="0"/>
                  </w:rPr>
                  <w:t xml:space="preserve">% pacientes con CVO que recibieron primera dosis de analgésico en ≤ 60 minutos de la llegada a urgencias</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spacing w:line="240" w:lineRule="auto"/>
              <w:jc w:val="center"/>
              <w:rPr>
                <w:rFonts w:ascii="Times New Roman" w:cs="Times New Roman" w:eastAsia="Times New Roman" w:hAnsi="Times New Roman"/>
                <w:sz w:val="24"/>
                <w:szCs w:val="24"/>
              </w:rPr>
            </w:pPr>
            <w:sdt>
              <w:sdtPr>
                <w:id w:val="-183255816"/>
                <w:tag w:val="goog_rdk_5"/>
              </w:sdtPr>
              <w:sdtContent>
                <w:r w:rsidDel="00000000" w:rsidR="00000000" w:rsidRPr="00000000">
                  <w:rPr>
                    <w:rFonts w:ascii="Arial Unicode MS" w:cs="Arial Unicode MS" w:eastAsia="Arial Unicode MS" w:hAnsi="Arial Unicode MS"/>
                    <w:color w:val="000000"/>
                    <w:sz w:val="20"/>
                    <w:szCs w:val="20"/>
                    <w:rtl w:val="0"/>
                  </w:rPr>
                  <w:t xml:space="preserve">≥ 90 %</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Oportunidad de respuesta del profesional experto en emergencias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 solicitudes urgentes (ACV, STA grave, secuestro esplénico) respondidas en &lt; 15 minutos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spacing w:line="240" w:lineRule="auto"/>
              <w:jc w:val="center"/>
              <w:rPr>
                <w:rFonts w:ascii="Times New Roman" w:cs="Times New Roman" w:eastAsia="Times New Roman" w:hAnsi="Times New Roman"/>
                <w:sz w:val="24"/>
                <w:szCs w:val="24"/>
              </w:rPr>
            </w:pPr>
            <w:sdt>
              <w:sdtPr>
                <w:id w:val="-1104110567"/>
                <w:tag w:val="goog_rdk_6"/>
              </w:sdtPr>
              <w:sdtContent>
                <w:r w:rsidDel="00000000" w:rsidR="00000000" w:rsidRPr="00000000">
                  <w:rPr>
                    <w:rFonts w:ascii="Arial Unicode MS" w:cs="Arial Unicode MS" w:eastAsia="Arial Unicode MS" w:hAnsi="Arial Unicode MS"/>
                    <w:color w:val="000000"/>
                    <w:sz w:val="20"/>
                    <w:szCs w:val="20"/>
                    <w:rtl w:val="0"/>
                  </w:rPr>
                  <w:t xml:space="preserve">≥ 90 %</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Uso de hemocomponentes fenotipados en transfusión de pacientes con ACF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 transfusiones en pacientes con ACF realizadas con hemocomponentes fenotipados (ABO, Rh, Kell, Duffy, Kidd)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spacing w:line="240" w:lineRule="auto"/>
              <w:jc w:val="center"/>
              <w:rPr>
                <w:rFonts w:ascii="Times New Roman" w:cs="Times New Roman" w:eastAsia="Times New Roman" w:hAnsi="Times New Roman"/>
                <w:sz w:val="24"/>
                <w:szCs w:val="24"/>
              </w:rPr>
            </w:pPr>
            <w:sdt>
              <w:sdtPr>
                <w:id w:val="2145474538"/>
                <w:tag w:val="goog_rdk_7"/>
              </w:sdtPr>
              <w:sdtContent>
                <w:r w:rsidDel="00000000" w:rsidR="00000000" w:rsidRPr="00000000">
                  <w:rPr>
                    <w:rFonts w:ascii="Arial Unicode MS" w:cs="Arial Unicode MS" w:eastAsia="Arial Unicode MS" w:hAnsi="Arial Unicode MS"/>
                    <w:color w:val="000000"/>
                    <w:sz w:val="20"/>
                    <w:szCs w:val="20"/>
                    <w:rtl w:val="0"/>
                  </w:rPr>
                  <w:t xml:space="preserve">≥ 85 %</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Cobertura de hidroxiurea en pacientes elegibles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sdt>
              <w:sdtPr>
                <w:id w:val="1315314870"/>
                <w:tag w:val="goog_rdk_8"/>
              </w:sdtPr>
              <w:sdtContent>
                <w:r w:rsidDel="00000000" w:rsidR="00000000" w:rsidRPr="00000000">
                  <w:rPr>
                    <w:rFonts w:ascii="Arial Unicode MS" w:cs="Arial Unicode MS" w:eastAsia="Arial Unicode MS" w:hAnsi="Arial Unicode MS"/>
                    <w:color w:val="000000"/>
                    <w:sz w:val="20"/>
                    <w:szCs w:val="20"/>
                    <w:rtl w:val="0"/>
                  </w:rPr>
                  <w:t xml:space="preserve">% pacientes con ACF (HbSS o HbS/β0-talasemia) con ≥ 1 CVO/año o STA previo que están en tratamiento con hidroxiurea</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spacing w:line="240" w:lineRule="auto"/>
              <w:jc w:val="center"/>
              <w:rPr>
                <w:rFonts w:ascii="Times New Roman" w:cs="Times New Roman" w:eastAsia="Times New Roman" w:hAnsi="Times New Roman"/>
                <w:sz w:val="24"/>
                <w:szCs w:val="24"/>
              </w:rPr>
            </w:pPr>
            <w:sdt>
              <w:sdtPr>
                <w:id w:val="509683505"/>
                <w:tag w:val="goog_rdk_9"/>
              </w:sdtPr>
              <w:sdtContent>
                <w:r w:rsidDel="00000000" w:rsidR="00000000" w:rsidRPr="00000000">
                  <w:rPr>
                    <w:rFonts w:ascii="Arial Unicode MS" w:cs="Arial Unicode MS" w:eastAsia="Arial Unicode MS" w:hAnsi="Arial Unicode MS"/>
                    <w:color w:val="000000"/>
                    <w:sz w:val="20"/>
                    <w:szCs w:val="20"/>
                    <w:rtl w:val="0"/>
                  </w:rPr>
                  <w:t xml:space="preserve">≥ 80 %</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Tamizaje de riesgo de ACV con Doppler transcraneal en niños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 niños con ACF entre 2 y 16 años con Doppler transcraneal realizado en el último año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spacing w:line="240" w:lineRule="auto"/>
              <w:jc w:val="center"/>
              <w:rPr>
                <w:rFonts w:ascii="Times New Roman" w:cs="Times New Roman" w:eastAsia="Times New Roman" w:hAnsi="Times New Roman"/>
                <w:sz w:val="24"/>
                <w:szCs w:val="24"/>
              </w:rPr>
            </w:pPr>
            <w:sdt>
              <w:sdtPr>
                <w:id w:val="1079660001"/>
                <w:tag w:val="goog_rdk_10"/>
              </w:sdtPr>
              <w:sdtContent>
                <w:r w:rsidDel="00000000" w:rsidR="00000000" w:rsidRPr="00000000">
                  <w:rPr>
                    <w:rFonts w:ascii="Arial Unicode MS" w:cs="Arial Unicode MS" w:eastAsia="Arial Unicode MS" w:hAnsi="Arial Unicode MS"/>
                    <w:color w:val="000000"/>
                    <w:sz w:val="20"/>
                    <w:szCs w:val="20"/>
                    <w:rtl w:val="0"/>
                  </w:rPr>
                  <w:t xml:space="preserve">≥ 80 %</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Inicio de quelación en sobrecarga de hierro por transfusión crónica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sdt>
              <w:sdtPr>
                <w:id w:val="1368420265"/>
                <w:tag w:val="goog_rdk_11"/>
              </w:sdtPr>
              <w:sdtContent>
                <w:r w:rsidDel="00000000" w:rsidR="00000000" w:rsidRPr="00000000">
                  <w:rPr>
                    <w:rFonts w:ascii="Arial Unicode MS" w:cs="Arial Unicode MS" w:eastAsia="Arial Unicode MS" w:hAnsi="Arial Unicode MS"/>
                    <w:color w:val="000000"/>
                    <w:sz w:val="20"/>
                    <w:szCs w:val="20"/>
                    <w:rtl w:val="0"/>
                  </w:rPr>
                  <w:t xml:space="preserve">% pacientes con ferritina &gt; 1.000 µg/L o ≥ 20 unidades acumuladas en quienes se inició quelación</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spacing w:line="240" w:lineRule="auto"/>
              <w:jc w:val="center"/>
              <w:rPr>
                <w:rFonts w:ascii="Times New Roman" w:cs="Times New Roman" w:eastAsia="Times New Roman" w:hAnsi="Times New Roman"/>
                <w:sz w:val="24"/>
                <w:szCs w:val="24"/>
              </w:rPr>
            </w:pPr>
            <w:sdt>
              <w:sdtPr>
                <w:id w:val="-16037276"/>
                <w:tag w:val="goog_rdk_12"/>
              </w:sdtPr>
              <w:sdtContent>
                <w:r w:rsidDel="00000000" w:rsidR="00000000" w:rsidRPr="00000000">
                  <w:rPr>
                    <w:rFonts w:ascii="Arial Unicode MS" w:cs="Arial Unicode MS" w:eastAsia="Arial Unicode MS" w:hAnsi="Arial Unicode MS"/>
                    <w:color w:val="000000"/>
                    <w:sz w:val="20"/>
                    <w:szCs w:val="20"/>
                    <w:rtl w:val="0"/>
                  </w:rPr>
                  <w:t xml:space="preserve">≥ 85 %</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Evitación de meperidina en el manejo analgésico de la CVO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 pacientes con CVO que recibieron meperidina como analgésico único o de primera línea (indicador negativo)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spacing w:line="240" w:lineRule="auto"/>
              <w:jc w:val="center"/>
              <w:rPr>
                <w:rFonts w:ascii="Times New Roman" w:cs="Times New Roman" w:eastAsia="Times New Roman" w:hAnsi="Times New Roman"/>
                <w:sz w:val="24"/>
                <w:szCs w:val="24"/>
              </w:rPr>
            </w:pPr>
            <w:sdt>
              <w:sdtPr>
                <w:id w:val="714559843"/>
                <w:tag w:val="goog_rdk_13"/>
              </w:sdtPr>
              <w:sdtContent>
                <w:r w:rsidDel="00000000" w:rsidR="00000000" w:rsidRPr="00000000">
                  <w:rPr>
                    <w:rFonts w:ascii="Arial Unicode MS" w:cs="Arial Unicode MS" w:eastAsia="Arial Unicode MS" w:hAnsi="Arial Unicode MS"/>
                    <w:color w:val="000000"/>
                    <w:sz w:val="20"/>
                    <w:szCs w:val="20"/>
                    <w:rtl w:val="0"/>
                  </w:rPr>
                  <w:t xml:space="preserve">≤ 5 %</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Completitud del registro de tele-experticia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 tele-experticias con registro completo en historia clínica (solicitud, concepto, conducta adoptada, seguimiento)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spacing w:line="240" w:lineRule="auto"/>
              <w:jc w:val="center"/>
              <w:rPr>
                <w:rFonts w:ascii="Times New Roman" w:cs="Times New Roman" w:eastAsia="Times New Roman" w:hAnsi="Times New Roman"/>
                <w:sz w:val="24"/>
                <w:szCs w:val="24"/>
              </w:rPr>
            </w:pPr>
            <w:sdt>
              <w:sdtPr>
                <w:id w:val="1291348095"/>
                <w:tag w:val="goog_rdk_14"/>
              </w:sdtPr>
              <w:sdtContent>
                <w:r w:rsidDel="00000000" w:rsidR="00000000" w:rsidRPr="00000000">
                  <w:rPr>
                    <w:rFonts w:ascii="Arial Unicode MS" w:cs="Arial Unicode MS" w:eastAsia="Arial Unicode MS" w:hAnsi="Arial Unicode MS"/>
                    <w:color w:val="000000"/>
                    <w:sz w:val="20"/>
                    <w:szCs w:val="20"/>
                    <w:rtl w:val="0"/>
                  </w:rPr>
                  <w:t xml:space="preserve">≥ 95 %</w:t>
                </w:r>
              </w:sdtContent>
            </w:sdt>
            <w:r w:rsidDel="00000000" w:rsidR="00000000" w:rsidRPr="00000000">
              <w:rPr>
                <w:rtl w:val="0"/>
              </w:rPr>
            </w:r>
          </w:p>
        </w:tc>
      </w:tr>
    </w:tbl>
    <w:p w:rsidR="00000000" w:rsidDel="00000000" w:rsidP="00000000" w:rsidRDefault="00000000" w:rsidRPr="00000000" w14:paraId="000000CF">
      <w:pPr>
        <w:spacing w:after="120" w:before="60"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iCs w:val="1"/>
          <w:color w:val="555555"/>
          <w:sz w:val="18"/>
          <w:szCs w:val="18"/>
          <w:rtl w:val="0"/>
        </w:rPr>
        <w:t xml:space="preserve">Tabla 3. Indicadores de calidad y seguimiento del programa de tele-experticia para ACF.</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Bibliografía</w:t>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Piel FB, Rees DC, DeBaun MR, et al. Defining global strategies to improve outcomes in sickle cell disease: a Lancet Haematology Commission. Lancet Haematol. 2023;10(8): e633–e686.</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Brandow AM, Liem RI. Advances in the diagnosis and treatment of sickle cell disease. J Hematol Oncol. 2022;15(1):20.</w:t>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GBD 2021 Sickle Cell Disease Collaborators. Global, regional, and national prevalence and mortality burden of sickle cell disease, 2000–2021: a systematic analysis from the Global Burden of Disease Study 2021. Lancet Haematol. 2023;10(8):e585–e599.</w:t>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Evidence-Based Management of Sickle Cell Disease: Expert Panel Report 2014. National Heart, Lung and Blood Institute (NHLBI). Bethesda, MD: NIH; 2014.</w:t>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Borhade MB, Patel P, Kondamudi NP. Sickle Cell Crisis. In: StatPearls. Updated 2024. NCBI Bookshelf NBK526064.</w:t>
      </w:r>
    </w:p>
    <w:p w:rsidR="00000000" w:rsidDel="00000000" w:rsidP="00000000" w:rsidRDefault="00000000" w:rsidRPr="00000000" w14:paraId="000000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Ataga KI, Kutlar A, Kanter J, et al. Crizanlizumab for the prevention of pain crises in sickle cell disease. N Engl J Med. 2017;376:429–439.</w:t>
      </w:r>
    </w:p>
    <w:p w:rsidR="00000000" w:rsidDel="00000000" w:rsidP="00000000" w:rsidRDefault="00000000" w:rsidRPr="00000000" w14:paraId="000000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Niihara Y, Miller ST, Kanter J, et al. A phase 3 trial of l-glutamine in sickle cell disease. N Engl J Med. 2018;379:226–235.</w:t>
      </w:r>
    </w:p>
    <w:p w:rsidR="00000000" w:rsidDel="00000000" w:rsidP="00000000" w:rsidRDefault="00000000" w:rsidRPr="00000000" w14:paraId="000000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Charache S, Terrin ML, Moore RD, et al. Effect of hydroxyurea on the frequency of painful crises in sickle cell anemia. N Engl J Med. 1995;332(20):1317–1322.</w:t>
      </w:r>
    </w:p>
    <w:p w:rsidR="00000000" w:rsidDel="00000000" w:rsidP="00000000" w:rsidRDefault="00000000" w:rsidRPr="00000000" w14:paraId="000000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Resolución 2654 de 2019. Por la cual se regula la prestación de servicios de salud a través de la modalidad de telesalud y telemedicina. Ministerio de Salud y Protección Social, Colombia.</w:t>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1419 de 2010. Por medio de la cual se establece la Política Nacional de Telesalud. Colombia.</w:t>
      </w:r>
    </w:p>
    <w:p w:rsidR="00000000" w:rsidDel="00000000" w:rsidP="00000000" w:rsidRDefault="00000000" w:rsidRPr="00000000" w14:paraId="000000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1581 de 2012. Por la cual se dictan disposiciones generales para la protección de datos personales en Colombia.</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Realiza: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Raúl Eduardo Walteros (Médico Hematólogo)</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Revisa: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[Espacio para Asignar Nombre / Comité de Telemedicina y Calidad]</w:t>
      </w:r>
    </w:p>
    <w:p w:rsidR="00000000" w:rsidDel="00000000" w:rsidP="00000000" w:rsidRDefault="00000000" w:rsidRPr="00000000" w14:paraId="000000DF">
      <w:pPr>
        <w:rPr>
          <w:rFonts w:ascii="Arial" w:cs="Arial" w:eastAsia="Arial" w:hAnsi="Arial"/>
          <w:sz w:val="24"/>
          <w:szCs w:val="24"/>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11r1ucjxzmof"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E3">
          <w:pPr>
            <w:jc w:val="center"/>
            <w:rPr>
              <w:sz w:val="28"/>
              <w:szCs w:val="28"/>
            </w:rPr>
          </w:pPr>
          <w:r w:rsidDel="00000000" w:rsidR="00000000" w:rsidRPr="00000000">
            <w:rPr>
              <w:rFonts w:ascii="Arial" w:cs="Arial" w:eastAsia="Arial" w:hAnsi="Arial"/>
              <w:b w:val="1"/>
              <w:bCs w:val="1"/>
              <w:sz w:val="28"/>
              <w:szCs w:val="28"/>
              <w:rtl w:val="0"/>
            </w:rPr>
            <w:t xml:space="preserve">PROTOCOLO DE TELE-EXPERTICIA EN ANEMIA DE CÉLULAS FALCIFORMES (ACF)</w:t>
          </w:r>
          <w:r w:rsidDel="00000000" w:rsidR="00000000" w:rsidRPr="00000000">
            <w:rPr>
              <w:rtl w:val="0"/>
            </w:rPr>
          </w:r>
        </w:p>
      </w:tc>
    </w:tr>
    <w:tr>
      <w:trPr>
        <w:cantSplit w:val="0"/>
        <w:trHeight w:val="278" w:hRule="atLeast"/>
        <w:tblHeader w:val="0"/>
      </w:trPr>
      <w:tc>
        <w:tcPr>
          <w:vMerge w:val="continue"/>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6262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62626"/>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rPr>
      <w:color w:val="2e75b5"/>
    </w:rPr>
    <w:tblPr>
      <w:tblStyleRowBandSize w:val="1"/>
      <w:tblStyleColBandSize w:val="1"/>
      <w:tblCellMar>
        <w:top w:w="0.0" w:type="dxa"/>
        <w:left w:w="108.0" w:type="dxa"/>
        <w:bottom w:w="0.0" w:type="dxa"/>
        <w:right w:w="108.0" w:type="dxa"/>
      </w:tblCellMar>
    </w:tblPr>
    <w:tblStylePr w:type="band1Horz">
      <w:tcPr>
        <w:shd w:fill="deeaf6" w:val="clear"/>
      </w:tcPr>
    </w:tblStylePr>
    <w:tblStylePr w:type="band1Vert">
      <w:tcPr>
        <w:shd w:fill="deeaf6" w:val="clear"/>
      </w:tcPr>
    </w:tblStylePr>
    <w:tblStylePr w:type="firstCol">
      <w:rPr>
        <w:b w:val="1"/>
        <w:bCs w:val="1"/>
      </w:rPr>
    </w:tblStylePr>
    <w:tblStylePr w:type="firstRow">
      <w:rPr>
        <w:b w:val="1"/>
        <w:bCs w:val="1"/>
      </w:rPr>
      <w:tcPr>
        <w:tcBorders>
          <w:bottom w:color="9cc2e5" w:space="0" w:sz="12" w:val="single"/>
        </w:tcBorders>
      </w:tcPr>
    </w:tblStylePr>
    <w:tblStylePr w:type="lastCol">
      <w:rPr>
        <w:b w:val="1"/>
        <w:bCs w:val="1"/>
      </w:rPr>
    </w:tblStylePr>
    <w:tblStylePr w:type="lastRow">
      <w:rPr>
        <w:b w:val="1"/>
        <w:bCs w:val="1"/>
      </w:rPr>
      <w:tcPr>
        <w:tcBorders>
          <w:top w:color="9cc2e5"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rPr>
      <w:tcPr>
        <w:tcBorders>
          <w:bottom w:color="8eaadb" w:space="0" w:sz="4" w:val="single"/>
        </w:tcBorders>
      </w:tcPr>
    </w:tblStylePr>
    <w:tblStylePr w:type="lastCol">
      <w:rPr>
        <w:b w:val="1"/>
        <w:bCs w:val="1"/>
      </w:rPr>
    </w:tblStylePr>
    <w:tblStylePr w:type="lastRow">
      <w:rPr>
        <w:b w:val="1"/>
        <w:bCs w:val="1"/>
      </w:rPr>
      <w:tcPr>
        <w:tcBorders>
          <w:top w:color="8eaadb"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eeaf6" w:val="clear"/>
      </w:tcPr>
    </w:tblStylePr>
    <w:tblStylePr w:type="band1Vert">
      <w:tcPr>
        <w:shd w:fill="deeaf6" w:val="clear"/>
      </w:tcPr>
    </w:tblStylePr>
    <w:tblStylePr w:type="firstCol">
      <w:rPr>
        <w:b w:val="1"/>
        <w:bCs w:val="1"/>
      </w:rPr>
    </w:tblStylePr>
    <w:tblStylePr w:type="firstRow">
      <w:rPr>
        <w:b w:val="1"/>
        <w:bCs w:val="1"/>
      </w:rPr>
      <w:tcPr>
        <w:tcBorders>
          <w:top w:color="000000" w:space="0" w:sz="0" w:val="nil"/>
          <w:bottom w:color="9cc2e5"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9cc2e5" w:space="0" w:sz="4" w:val="single"/>
          <w:bottom w:color="000000" w:space="0" w:sz="0" w:val="nil"/>
          <w:insideH w:color="000000" w:space="0" w:sz="0" w:val="nil"/>
          <w:insideV w:color="000000" w:space="0" w:sz="0" w:val="nil"/>
        </w:tcBorders>
        <w:shd w:fill="ffffff" w:val="clear"/>
      </w:tcPr>
    </w:tblStyle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GDt04Ps4mgjRta+xHVZbia/vn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zIOaC4xMXIxdWNqeHptb2Y4AHIhMTF4cFQ0ZGdZXzZlZ2RCMm9JaDhTQnNRdHdiU0xadjB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