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mgiwtoc48mu"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Nota aclaratoria: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Este es un protocolo que se basa en la atención de anemia en falla cardíaca en primer y segundo nivel, y el plan de seguimiento por telemedicina, y no pretende sustituir guías de práctica clínica.</w:t>
      </w:r>
    </w:p>
    <w:p w:rsidR="00000000" w:rsidDel="00000000" w:rsidP="00000000" w:rsidRDefault="00000000" w:rsidRPr="00000000" w14:paraId="00000003">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 Introducción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anemia en falla cardíaca (FC) es una de las comorbilidades más frecuentes y de efecto pronóstico en este contexto clínico. Afecta aproximadamente al 30 % de los pacientes ambulatorios con FC estable y hasta al 50 % de los hospitalizados por FC descompensada. Un metaanálisis que incluyó 29.587 pacientes con falla cardíaca aguda demostró que la anemia se asocia con un riesgo 91 % mayor de mortalidad a 30 días y un riesgo 72 % mayor de mortalidad al año. La relación entre ambas entidades es bidireccional: la FC favorece la anemia a través de múltiples mecanismos, mientras que la anemia puede empeorar la disfunción cardíaca al incrementar la demanda miocárdica de oxígeno y activar sistemas neurohormonales compensatorios.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deficiencia de hierro (DH) es la causa más frecuente y tratable de anemia en este contexto: afecta hasta al 55 % de los pacientes con FC crónica y al 80 % de los pacientes hospitalizados por FC aguda, independientemente de la fracción de eyección ventricular izquierda (FEVI). Un concepto clínico fundamental avalado por las guías internacionales es que la deficiencia de hierro debe identificarse y tratarse independientemente de la presencia de anemia, ya que deteriora la función mitocondrial del miocardio y el músculo esquelético incluso con hemoglobina normal.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primer y segundo nivel de atención, la tele-experticia permite al equipo tratante presencial acceder a orientación especializada para la interpretación del perfil de hierro, la selección del tratamiento más adecuado (hierro IV como primera línea, con contraindicación explícita del hierro oral en FC), el manejo de la DH sin anemia y la coordinación multidisciplinaria con cardiología y nefrología. El presente protocolo establece los lineamientos operativos para dicha prestación.</w:t>
      </w:r>
    </w:p>
    <w:p w:rsidR="00000000" w:rsidDel="00000000" w:rsidP="00000000" w:rsidRDefault="00000000" w:rsidRPr="00000000" w14:paraId="00000007">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Objetivo General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los lineamientos operativos, asistenciales y clínicos para la prestación del servicio de tele-experticia en el manejo de la anemia en falla cardíaca, apoyando la identificación y el tratamiento oportuno de la deficiencia de hierro absoluta y funcional independientemente de la presencia de anemia, la selección del preparado de hierro intravenoso más adecuado, la monitorización de la respuesta terapéutica y la definición oportuna de los casos que requieren coordinación con cardiología, nefrología u otras especialidades, con el fin de reducir las hospitalizaciones por FC y mejorar la capacidad funcional y la calidad de vida de los pacientes atendidos en el primer y segundo nivel de atención en Colombia.</w:t>
      </w:r>
    </w:p>
    <w:p w:rsidR="00000000" w:rsidDel="00000000" w:rsidP="00000000" w:rsidRDefault="00000000" w:rsidRPr="00000000" w14:paraId="00000009">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 Objetivos Específicos</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Estandarizar el proceso de solicitud, respuesta, registro y seguimiento de la tele-experticia dentro del programa de atención ambulatoria para pacientes con falla cardíaca y anemia o deficiencia de hierro.</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la aplicación de los criterios diagnósticos de deficiencia de hierro en FC según las guías ESC: ferritina &lt; 100 µg/L (deficiencia absoluta) o ferritina 100 a 299 µg/L con TSAT &lt; 20 % (deficiencia funcional), con énfasis en la TSAT como marcador más confiable en contextos de inflamación crónica.</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Apoyar la selección e indicación del hierro intravenoso (hierro carboximaltosa o derisomaltosa férrica) como primera línea para el tratamiento de la DH en FC, con contraindicación explícita del hierro oral por su escasa absorción en el estado inflamatorio crónico de la FC.</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la monitorización de la respuesta al tratamiento con hierro IV: evaluación de ferritina, TSAT y hemoglobina a las 4 y 12 semanas, y decisión sobre dosis de mantenimiento cada 3 a 6 meses.</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el diagnóstico diferencial etiológico de la anemia en FC: sangrado oculto, déficit de EPO por síndrome cardiorrenal, anemia megaloblástica, hemodilución y otras causas concurrentes.</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los criterios clínicos para identificar los pacientes que pueden continuar manejo ambulatorio con apoyo de tele-experticia y aquéllos que requieren coordinación presencial con cardiología, nefrología o hematología.</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que la atención mediante tele-experticia se desarrolle con criterios de calidad, seguridad, pertinencia clínica, confidencialidad, trazabilidad y cumplimiento de la normatividad colombiana vigente.</w:t>
      </w:r>
    </w:p>
    <w:p w:rsidR="00000000" w:rsidDel="00000000" w:rsidP="00000000" w:rsidRDefault="00000000" w:rsidRPr="00000000" w14:paraId="00000011">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 Alcance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protocolo aplica a todos los profesionales de la salud que atienden pacientes con falla cardíaca en el primer y segundo nivel de atención, incluyendo médicos generales, médicos internistas, personal de enfermería, coordinadores del programa y equipos de soporte tecnológico y de calidad. Su ámbito de aplicación comprende:</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detección sistemática de anemia y deficiencia de hierro en todo paciente con FC mediante hemograma completo, ferritina y TSAT en cada control periódico, independientemente de la FEVI.</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de los criterios diagnósticos de DH en FC (ferritina &lt; 100 µg/L o ferritina 100–299 µg/L con TSAT &lt; 20 %) y la interpretación de la ferritina en contextos de inflamación crónica donde puede estar falsamente elevada.</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indicación del hierro intravenoso en pacientes con FC sintomática (HFrEF, HFmrEF) y DH, con selección del preparado (carboximaltosa férrica o derisomaltosa férrica), la dosis inicial y el plan de mantenimiento.</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diagnóstico diferencial etiológico de la anemia en FC, incluyendo la evaluación de sangrado oculto, síndrome cardiorrenal, anemia megaloblástica, hemodilución y hemólisis.</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monitorización de la respuesta al hierro IV y la decisión sobre dosis de mantenimiento o cambio de estrategia ante respuesta subóptima.</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definición de criterios de coordinación con cardiología (para ajuste del tratamiento de FC), nefrología (en síndrome cardiorrenal) o hematología (ante anemia refractaria o sospecha de causa oncohematológica).</w:t>
      </w:r>
    </w:p>
    <w:p w:rsidR="00000000" w:rsidDel="00000000" w:rsidP="00000000" w:rsidRDefault="00000000" w:rsidRPr="00000000" w14:paraId="00000019">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 Marco Normativo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presente protocolo se sustenta en la siguiente normatividad colombiana e internacional vigente:</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2654 de 2019: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Regula la telesalud y telemedicina en Colombia.</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3100 de 2019: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Define los estándares de habilitación en salud.</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1419 de 2010: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Establece la Política Nacional de Telesalud y dicta otras disposiciones.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1581 de 2012: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Disposiciones generales para la protección de datos personales.</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Decreto 538 de 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Adopta medidas en el sector salud y regula el uso de la telemedicina para emergencias sanitarias.</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Guías del Ministerio de Salud y Protección Social en Telesalud: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Orientaciones técnicas nacionales.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Soporte Clínico Internacional:</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Focused Update of the ESC Guidelines for the Diagnosis and Treatment of Acute and Chronic Heart Failure.</w:t>
      </w:r>
    </w:p>
    <w:p w:rsidR="00000000" w:rsidDel="00000000" w:rsidP="00000000" w:rsidRDefault="00000000" w:rsidRPr="00000000" w14:paraId="0000002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AHA/ACC/HFSA Guideline for the Management of Heart Failure.</w:t>
      </w:r>
    </w:p>
    <w:p w:rsidR="00000000" w:rsidDel="00000000" w:rsidP="00000000" w:rsidRDefault="00000000" w:rsidRPr="00000000" w14:paraId="0000002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Evidencia de los ensayos clínicos AFFIRM-AHF, HEART-FID e IRONMAN sobre el uso de hierro intravenoso.</w:t>
      </w:r>
    </w:p>
    <w:p w:rsidR="00000000" w:rsidDel="00000000" w:rsidP="00000000" w:rsidRDefault="00000000" w:rsidRPr="00000000" w14:paraId="00000025">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6. Definiciones</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Conjunto de actividades relacionadas con la salud, servicios y métodos, los cuales se llevan a cabo a distancia con la ayuda de las tecnologías de la información y telecomunicaciones. Incluye, entre otras, la Telemedicina y la Teleeducación en salud. </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Teleapoyo: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Soporte solicitado por un profesional de la salud a otro profesional de la salud a través de tecnologías de la información y comunicaciones en el marco del relacionamiento entre profesionales.</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la relación a distancia con método de comunicación sincrónico o asincrónico para la provisión de servicios de salud en cualquiera de sus componentes, utilizando tecnologías de información y comunicación entre: </w:t>
      </w:r>
    </w:p>
    <w:p w:rsidR="00000000" w:rsidDel="00000000" w:rsidP="00000000" w:rsidRDefault="00000000" w:rsidRPr="00000000" w14:paraId="000000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Dos profesionales de la salud, uno de los cuales atiende presencialmente al usuario y otro atiende a distancia. El profesional que atiende presencialmente al usuario es responsable del tratamiento y de las decisiones y recomendaciones entregadas al paciente y el que atiende a distancia actúa como apoyo o asesor. </w:t>
      </w:r>
    </w:p>
    <w:p w:rsidR="00000000" w:rsidDel="00000000" w:rsidP="00000000" w:rsidRDefault="00000000" w:rsidRPr="00000000" w14:paraId="000000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Profesionales de la salud que en junta médica realizan una interconsulta o una asesoría.</w:t>
      </w:r>
    </w:p>
    <w:p w:rsidR="00000000" w:rsidDel="00000000" w:rsidP="00000000" w:rsidRDefault="00000000" w:rsidRPr="00000000" w14:paraId="0000002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Personal de salud no profesional que solicita el apoyo de un profesional de la salud para la toma de decisiones.</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Deficiencia de hierro absoluta en FC: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Ferritina sérica &lt; 100 µg/L, independientemente de la TSAT. Indica reducción real del hierro corporal total.</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Deficiencia de hierro funcional en FC: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Ferritina sérica entre 100–299 µg/L con TSAT &lt; 20 %. Indica que, aunque existen depósitos, el hierro no está disponible para la eritropoyesis ni para los tejidos diana por el bloqueo mediado por hepcidina en el contexto inflamatorio crónico de la FC.</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Saturación de transferrina (TSAT):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Porcentaje de transferrina saturado con hierro $\left(\frac{\text{Hierro s\'{e}rico}}{\text{CTFH}} \times 100\right)$. Es el marcador más confiable del hierro disponible para la eritropoyesis en FC, ya que no se afecta por la inflamación crónica (a diferencia de la ferritina, que es un reactante de fase aguda). Una TSAT &lt; 20 % define restricción funcional de hierro.</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Carboximaltosa férrica (FCM):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Preparado de hierro IV de tercera generación. Dosis única de hasta 1.000 mg en 15 minutos o infusión rápida. Recomendación Clase I para FC asociado a DH. Puede asociarse a hipofosfatemia transitoria en un subgrupo de pacientes, especialmente con dosis repetidas.</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Derisomaltosa férrica (FDI):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Preparado de hierro IV de tercera generación con perfil de seguridad comparable a la FCM. Dosis de hasta 20 mg/kg en infusión única. Menor riesgo de hipofosfatemia comparado con FCM.</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Síndrome cardiorrenal: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Interacción bidireccional donde la FC reduce el gasto cardíaco y la perfusión renal, generando daño renal progresivo que a su vez reduce la síntesis de eritropoyetina y aumenta la retención hidrosalina. La anemia en este contexto es de etiología mixta.</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Hemodilución: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Pseudoanemia por retención hídrica que reduce la concentración de hemoglobina sin disminuir la masa eritrocitaria total. Más frecuente en FC descompensada con sobrecarga de volumen grave. El tratamiento es la optimización diurética, no la suplementación de hierro.</w:t>
      </w:r>
    </w:p>
    <w:p w:rsidR="00000000" w:rsidDel="00000000" w:rsidP="00000000" w:rsidRDefault="00000000" w:rsidRPr="00000000" w14:paraId="00000033">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 Flujo Operativo y Clínico Telesalud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 crítico transversal:</w:t>
      </w:r>
      <w:sdt>
        <w:sdtPr>
          <w:id w:val="135018603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La DH debe ser detectada y tratada en todo paciente con FC y FEVI ≤ 45 % (HFrEF o HFmrEF), independientemente de si la hemoglobina está por debajo o dentro del rango normal. El hierro oral NO está recomendado en FC por escasa absorción en el contexto inflamatorio crónico (evidencia ensayo IRONOUT HF).</w:t>
          </w:r>
        </w:sdtContent>
      </w:sdt>
    </w:p>
    <w:tbl>
      <w:tblPr>
        <w:tblStyle w:val="Table1"/>
        <w:tblW w:w="8822.0" w:type="dxa"/>
        <w:jc w:val="left"/>
        <w:tblLayout w:type="fixed"/>
        <w:tblLook w:val="0400"/>
      </w:tblPr>
      <w:tblGrid>
        <w:gridCol w:w="1038"/>
        <w:gridCol w:w="2043"/>
        <w:gridCol w:w="1797"/>
        <w:gridCol w:w="3944"/>
        <w:tblGridChange w:id="0">
          <w:tblGrid>
            <w:gridCol w:w="1038"/>
            <w:gridCol w:w="2043"/>
            <w:gridCol w:w="1797"/>
            <w:gridCol w:w="3944"/>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5">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6">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Actividad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7">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8">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Acción / Canal Operativo</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9">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A">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Identificación de anemia o DH en FC asociado a solicitud de tele-experticia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B">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asistencial presencial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C">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Sospecha clínica basada en fenotipo de FC (HFrEF, HFmrEF o HFpEF), clase funcional NYHA y panel básico.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D">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E">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Verificación de requisitos clínicos y consentimiento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F">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Centro Remisor / Médico solicitante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0">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Verificación de criterios de inclusión. Consolidación de datos clínicos mínimos (FEVI, hemograma, ferritina, TSAT, creatinina y BNP) y gestión del consentimiento informado.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1">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2">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Diligenciamiento de solicitud y envío de datos clínicos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3">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solicitante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4">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Envío de datos a los canales corporativos </w:t>
            </w:r>
            <w:r w:rsidDel="00000000" w:rsidR="00000000" w:rsidRPr="00000000">
              <w:rPr>
                <w:rFonts w:ascii="Arial" w:cs="Arial" w:eastAsia="Arial" w:hAnsi="Arial"/>
                <w:b w:val="1"/>
                <w:bCs w:val="1"/>
                <w:color w:val="000000"/>
                <w:sz w:val="24"/>
                <w:szCs w:val="24"/>
                <w:rtl w:val="0"/>
              </w:rPr>
              <w:t xml:space="preserve">3228234549</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3228234532</w:t>
            </w:r>
            <w:r w:rsidDel="00000000" w:rsidR="00000000" w:rsidRPr="00000000">
              <w:rPr>
                <w:rFonts w:ascii="Arial" w:cs="Arial" w:eastAsia="Arial" w:hAnsi="Arial"/>
                <w:color w:val="000000"/>
                <w:sz w:val="24"/>
                <w:szCs w:val="24"/>
                <w:rtl w:val="0"/>
              </w:rPr>
              <w:t xml:space="preserve"> y al correo </w:t>
            </w:r>
            <w:r w:rsidDel="00000000" w:rsidR="00000000" w:rsidRPr="00000000">
              <w:rPr>
                <w:rFonts w:ascii="Arial" w:cs="Arial" w:eastAsia="Arial" w:hAnsi="Arial"/>
                <w:b w:val="1"/>
                <w:bCs w:val="1"/>
                <w:color w:val="000000"/>
                <w:sz w:val="24"/>
                <w:szCs w:val="24"/>
                <w:rtl w:val="0"/>
              </w:rPr>
              <w:t xml:space="preserve">telemedicina.digital@hun.edu.co</w:t>
            </w:r>
            <w:r w:rsidDel="00000000" w:rsidR="00000000" w:rsidRPr="00000000">
              <w:rPr>
                <w:rFonts w:ascii="Arial" w:cs="Arial" w:eastAsia="Arial" w:hAnsi="Arial"/>
                <w:color w:val="000000"/>
                <w:sz w:val="24"/>
                <w:szCs w:val="24"/>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5">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6">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Recepción y validación de información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7">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Centro Referente / profesional experto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8">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Validación de completitud clínica del caso y realización del </w:t>
            </w:r>
            <w:r w:rsidDel="00000000" w:rsidR="00000000" w:rsidRPr="00000000">
              <w:rPr>
                <w:rFonts w:ascii="Arial" w:cs="Arial" w:eastAsia="Arial" w:hAnsi="Arial"/>
                <w:b w:val="1"/>
                <w:bCs w:val="1"/>
                <w:color w:val="000000"/>
                <w:sz w:val="24"/>
                <w:szCs w:val="24"/>
                <w:rtl w:val="0"/>
              </w:rPr>
              <w:t xml:space="preserve">cargue administrativo en Hosvital</w:t>
            </w:r>
            <w:r w:rsidDel="00000000" w:rsidR="00000000" w:rsidRPr="00000000">
              <w:rPr>
                <w:rFonts w:ascii="Arial" w:cs="Arial" w:eastAsia="Arial" w:hAnsi="Arial"/>
                <w:color w:val="000000"/>
                <w:sz w:val="24"/>
                <w:szCs w:val="24"/>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9">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A">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Análisis de caso y concepto clínico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B">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C">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Valoración diagnóstica en dos pasos: confirmar DH (criterios ESC) y diferenciar la etiología de la anemia (hemodilución vs. DH real). Registro en </w:t>
            </w:r>
            <w:r w:rsidDel="00000000" w:rsidR="00000000" w:rsidRPr="00000000">
              <w:rPr>
                <w:rFonts w:ascii="Arial" w:cs="Arial" w:eastAsia="Arial" w:hAnsi="Arial"/>
                <w:b w:val="1"/>
                <w:bCs w:val="1"/>
                <w:color w:val="000000"/>
                <w:sz w:val="24"/>
                <w:szCs w:val="24"/>
                <w:rtl w:val="0"/>
              </w:rPr>
              <w:t xml:space="preserve">historia clínica Hosvital</w:t>
            </w:r>
            <w:r w:rsidDel="00000000" w:rsidR="00000000" w:rsidRPr="00000000">
              <w:rPr>
                <w:rFonts w:ascii="Arial" w:cs="Arial" w:eastAsia="Arial" w:hAnsi="Arial"/>
                <w:color w:val="000000"/>
                <w:sz w:val="24"/>
                <w:szCs w:val="24"/>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D">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E">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Envío de ordenamiento e implementación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F">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 / Profesional solicitante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0">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Envío del concepto (indicación de hierro IV, dosis, contraindicación de hierro oral y plan de monitorización) </w:t>
            </w:r>
            <w:r w:rsidDel="00000000" w:rsidR="00000000" w:rsidRPr="00000000">
              <w:rPr>
                <w:rFonts w:ascii="Arial" w:cs="Arial" w:eastAsia="Arial" w:hAnsi="Arial"/>
                <w:b w:val="1"/>
                <w:bCs w:val="1"/>
                <w:color w:val="000000"/>
                <w:sz w:val="24"/>
                <w:szCs w:val="24"/>
                <w:rtl w:val="0"/>
              </w:rPr>
              <w:t xml:space="preserve">a través de correo corporativo</w:t>
            </w:r>
            <w:r w:rsidDel="00000000" w:rsidR="00000000" w:rsidRPr="00000000">
              <w:rPr>
                <w:rFonts w:ascii="Arial" w:cs="Arial" w:eastAsia="Arial" w:hAnsi="Arial"/>
                <w:color w:val="000000"/>
                <w:sz w:val="24"/>
                <w:szCs w:val="24"/>
                <w:rtl w:val="0"/>
              </w:rPr>
              <w:t xml:space="preserve">. Implementación y control de laboratorios.</w:t>
            </w:r>
          </w:p>
        </w:tc>
      </w:tr>
    </w:tbl>
    <w:p w:rsidR="00000000" w:rsidDel="00000000" w:rsidP="00000000" w:rsidRDefault="00000000" w:rsidRPr="00000000" w14:paraId="00000051">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 Criterios de Inclusión / Exclusión Telesalud</w:t>
      </w:r>
    </w:p>
    <w:p w:rsidR="00000000" w:rsidDel="00000000" w:rsidP="00000000" w:rsidRDefault="00000000" w:rsidRPr="00000000" w14:paraId="00000052">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Criterios de Inclusión:</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FC establecida (cualquier fenotipo: HFrEF, HFmrEF, HFpEF) y anemia (Hb &lt; 13 g/dL en hombres o &lt; 12 g/dL en mujeres) en quienes se requiere orientación para el estudio etiológico, la confirmación de DH y la selección del tratamiento.</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FC sintomática (NYHA II–III) con HFrEF o HFmrEF y DH confirmada (ferritina &lt; 100 µg/L o ferritina 100–299 µg/L con TSAT &lt; 20 %) sin anemia, en quienes se requiere orientación sobre la indicación de hierro IV según la evidencia internacional Clase I.</w:t>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FC y anemia por etiología no aclarada (sin DH confirmada) en quienes se requiere orientación para el diagnóstico diferencial (hemodilución, síndrome cardiorrenal, anemia megaloblástica, sangrado oculto, hemólisis u otras causas).</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FC y DH que presentan respuesta inadecuada al hierro IV previo (sin mejora de TSAT &gt; 20 % ni mejora sintomática a las 12 semanas) en quienes se requiere revisión del diagnóstico y la estrategia terapéutica.</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FC y anemia en el contexto de síndrome cardiorrenal o ERC concomitante en quienes se requiere orientación sobre el manejo multidisciplinario y el acompañamiento con el servicio de nefrología.</w:t>
      </w:r>
    </w:p>
    <w:p w:rsidR="00000000" w:rsidDel="00000000" w:rsidP="00000000" w:rsidRDefault="00000000" w:rsidRPr="00000000" w14:paraId="00000058">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Criterios de Exclusión y Remisión:</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FC descompensada aguda con anemia grave y compromiso hemodinámico (Hb &lt; 7 g/dL con hipotensión o hipoperfusión tisular) que requieren atención hospitalaria urgente y potencialmente transfusión como medida de rescate.</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anemia que se atribuye a hemodilución por sobrecarga de volumen: el tratamiento prioritario es la optimización de la terapia diurética, no el hierro IV.</w:t>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sospecha de causa oncohematológica de la anemia (pérdida de peso, adenopatías, esplenomegalia, blastos en el hemograma) que requieren evaluación presencial prioritaria por hematología.</w:t>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Casos en los que no sea técnicamente posible realizar la atención mediante los canales institucionales definidos (falla de conectividad, ausencia de ferritina y TSAT como parámetros mínimos para la valoración).</w:t>
      </w:r>
    </w:p>
    <w:p w:rsidR="00000000" w:rsidDel="00000000" w:rsidP="00000000" w:rsidRDefault="00000000" w:rsidRPr="00000000" w14:paraId="0000005D">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 Roles y Responsabilidades Telesalud</w:t>
      </w:r>
    </w:p>
    <w:p w:rsidR="00000000" w:rsidDel="00000000" w:rsidP="00000000" w:rsidRDefault="00000000" w:rsidRPr="00000000" w14:paraId="0000005E">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Profesional Solicitante (Centro Remisor):</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Generar la solicitud formal de tele-experticia a través de los canales institucionales establecidos.</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información clínica clara, completa y pertinente mediante el escrutinio sistemático (hemograma con índices, ferritina, TSAT, hierro sérico, CTFH, creatinina, TFGe y vitaminas si el VCM &gt; 100 fL).</w:t>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Asegurar el consentimiento informado del paciente para el uso de medios tecnológicos en salud.</w:t>
      </w:r>
    </w:p>
    <w:p w:rsidR="00000000" w:rsidDel="00000000" w:rsidP="00000000" w:rsidRDefault="00000000" w:rsidRPr="00000000" w14:paraId="000000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clínicamente la presencia o ausencia de sobrecarga de volumen activa antes de la solicitud, para diferenciar la anemia verdadera de la hemodilución dilucional.</w:t>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iniciar hierro oral en pacientes con FC sin orientación del experto.</w:t>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las acciones derivadas de las recomendaciones emitidas por el experto e implementarlas dentro del marco de sus competencias, registrándolas en la historia clínica local.</w:t>
      </w:r>
    </w:p>
    <w:p w:rsidR="00000000" w:rsidDel="00000000" w:rsidP="00000000" w:rsidRDefault="00000000" w:rsidRPr="00000000" w14:paraId="00000065">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Profesional Experto (Centro Referente):</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Analizar la información recibida y emitir el concepto técnico-clínico de manera priorizada.</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Interpretar el estudio de hierro reconociendo que la ferritina puede estar falsamente elevada por la inflamación y que la TSAT es el marcador más confiable en este escenario.</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recomendaciones fundamentadas en la evidencia, especificando el preparado de hierro IV (FCM o FDI), la dosis inicial y el plan de mantenimiento, advirtiendo sobre el riesgo de hipofosfatemia con FCM.</w:t>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el diagnóstico diferencial de la anemia en FC identificando las causas que requieran intervenciones distintas.</w:t>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la opinión médica de forma completa y trazable en la historia clínica institucional (Hosvital) con fecha y hora, indicando los criterios de seguimiento multidisciplinario.</w:t>
      </w:r>
    </w:p>
    <w:p w:rsidR="00000000" w:rsidDel="00000000" w:rsidP="00000000" w:rsidRDefault="00000000" w:rsidRPr="00000000" w14:paraId="000000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Respetar los tiempos de respuesta estipulados.</w:t>
      </w:r>
    </w:p>
    <w:p w:rsidR="00000000" w:rsidDel="00000000" w:rsidP="00000000" w:rsidRDefault="00000000" w:rsidRPr="00000000" w14:paraId="0000006C">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Equipo de Soporte Tecnológico y de Calidad:</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Soporte Tecnológico: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Garantizar la disponibilidad, seguridad y trazabilidad de las plataformas tecnológicas, bajo condiciones de estricta confidencialidad conforme a la Ley 1581 de 2012, brindando soporte técnico oportuno.</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 la Calidad: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Monitorizar la adherencia al protocolo, evaluando especialmente la realización de estudios para descartar DH en FC, la evitación del hierro oral y el control del fósforo sérico.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 Tiempos de Respuesta Sugeridos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2"/>
        <w:tblW w:w="8822.0" w:type="dxa"/>
        <w:jc w:val="left"/>
        <w:tblLayout w:type="fixed"/>
        <w:tblLook w:val="0400"/>
      </w:tblPr>
      <w:tblGrid>
        <w:gridCol w:w="3678"/>
        <w:gridCol w:w="1884"/>
        <w:gridCol w:w="3260"/>
        <w:tblGridChange w:id="0">
          <w:tblGrid>
            <w:gridCol w:w="3678"/>
            <w:gridCol w:w="1884"/>
            <w:gridCol w:w="3260"/>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C">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Tipo de Solicitud / Gravedad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D">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Tiempo de Respuesta Sugerido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E">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Observaciones Clínicas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F">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Emergencia Vital:</w:t>
            </w:r>
            <w:r w:rsidDel="00000000" w:rsidR="00000000" w:rsidRPr="00000000">
              <w:rPr>
                <w:rFonts w:ascii="Arial" w:cs="Arial" w:eastAsia="Arial" w:hAnsi="Arial"/>
                <w:color w:val="000000"/>
                <w:sz w:val="24"/>
                <w:szCs w:val="24"/>
                <w:rtl w:val="0"/>
              </w:rPr>
              <w:t xml:space="preserve"> Anemia grave en FC (Hb &lt; 8 g/dL) sin inestabilidad hemodinámica manifiesta pero con alto riesgo. Decisión sobre hierro IV vs. transfusión.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0">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Atención inmediata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1">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Evaluar sobrecarga de volumen activa; la transfusión se reserva solo como medida de rescate.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2">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Urgencia Prioritaria:</w:t>
            </w:r>
            <w:sdt>
              <w:sdtPr>
                <w:id w:val="1770565651"/>
                <w:tag w:val="goog_rdk_1"/>
              </w:sdtPr>
              <w:sdtContent>
                <w:r w:rsidDel="00000000" w:rsidR="00000000" w:rsidRPr="00000000">
                  <w:rPr>
                    <w:rFonts w:ascii="Arial Unicode MS" w:cs="Arial Unicode MS" w:eastAsia="Arial Unicode MS" w:hAnsi="Arial Unicode MS"/>
                    <w:color w:val="000000"/>
                    <w:sz w:val="24"/>
                    <w:szCs w:val="24"/>
                    <w:rtl w:val="0"/>
                  </w:rPr>
                  <w:t xml:space="preserve"> DH confirmada en FC sintomática (HFrEF, HFmrEF) o DH sin anemia en FC con FEVI ≤ 45 %. Selección de hierro IV.</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3">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Atención hasta 30 minutos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4">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Hb normal no excluye la indicación de hierro IV si la TSAT es &lt; 20 %. Incluir clase funcional NYHA.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5">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Urgencia No Vital:</w:t>
            </w:r>
            <w:r w:rsidDel="00000000" w:rsidR="00000000" w:rsidRPr="00000000">
              <w:rPr>
                <w:rFonts w:ascii="Arial" w:cs="Arial" w:eastAsia="Arial" w:hAnsi="Arial"/>
                <w:color w:val="000000"/>
                <w:sz w:val="24"/>
                <w:szCs w:val="24"/>
                <w:rtl w:val="0"/>
              </w:rPr>
              <w:t xml:space="preserve"> Anemia en FC de etiología no aclarada o falta de respuesta al hierro IV a las 12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6">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Menos a 12 horas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7">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Incluir VCM, reticulocitos, cinética de hierro, vitamina B12 y folato. Descartar sangrado activo.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8">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Consulta Programada:</w:t>
            </w:r>
            <w:r w:rsidDel="00000000" w:rsidR="00000000" w:rsidRPr="00000000">
              <w:rPr>
                <w:rFonts w:ascii="Arial" w:cs="Arial" w:eastAsia="Arial" w:hAnsi="Arial"/>
                <w:color w:val="000000"/>
                <w:sz w:val="24"/>
                <w:szCs w:val="24"/>
                <w:rtl w:val="0"/>
              </w:rPr>
              <w:t xml:space="preserve"> Seguimiento de DH en FC tratada. Decisión sobre dosis de mantenimiento.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9">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Menor a 8 días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A">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Tele-experticia programada (asincrónica). Requiere incluir resultados de TSAT y ferritina actuales cada 3-6 meses.</w:t>
            </w:r>
          </w:p>
        </w:tc>
      </w:tr>
    </w:tbl>
    <w:p w:rsidR="00000000" w:rsidDel="00000000" w:rsidP="00000000" w:rsidRDefault="00000000" w:rsidRPr="00000000" w14:paraId="0000008B">
      <w:pPr>
        <w:pStyle w:val="Head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C">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 Estrategias de Humanización Digital</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Diálogo Intercultural: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equipo médico en salud digital debe garantizar el reconocimiento de las particularidades culturales de los pacientes en regiones dispersas, utilizando un lenguaje asertivo, comprensible, empático y libre de tecnicismos innecesarios para el paciente y sus familiares, integrando el soporte informático a una atención digna y respetuosa.</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Empatía en la Virtualidad: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Mantener una comunicación fluida y un trato cálido entre el profesional experto y el médico solicitante en el primer nivel de atención, validando las limitaciones de su infraestructura local y priorizando de manera conjunta la seguridad y bienestar del paciente.</w:t>
      </w:r>
    </w:p>
    <w:p w:rsidR="00000000" w:rsidDel="00000000" w:rsidP="00000000" w:rsidRDefault="00000000" w:rsidRPr="00000000" w14:paraId="0000008F">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 Indicadores</w:t>
      </w:r>
    </w:p>
    <w:p w:rsidR="00000000" w:rsidDel="00000000" w:rsidP="00000000" w:rsidRDefault="00000000" w:rsidRPr="00000000" w14:paraId="00000090">
      <w:pPr>
        <w:rPr/>
      </w:pPr>
      <w:r w:rsidDel="00000000" w:rsidR="00000000" w:rsidRPr="00000000">
        <w:rPr>
          <w:rtl w:val="0"/>
        </w:rPr>
      </w:r>
    </w:p>
    <w:tbl>
      <w:tblPr>
        <w:tblStyle w:val="Table3"/>
        <w:tblW w:w="8822.0" w:type="dxa"/>
        <w:jc w:val="left"/>
        <w:tblLayout w:type="fixed"/>
        <w:tblLook w:val="0400"/>
      </w:tblPr>
      <w:tblGrid>
        <w:gridCol w:w="2951"/>
        <w:gridCol w:w="4317"/>
        <w:gridCol w:w="1554"/>
        <w:tblGridChange w:id="0">
          <w:tblGrid>
            <w:gridCol w:w="2951"/>
            <w:gridCol w:w="4317"/>
            <w:gridCol w:w="1554"/>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1">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Indicador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2">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Definición Operacional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3">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Meta Sugerida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4">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Escrutinio de DH en FC con ferritina y TSAT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5">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controles de pacientes con FC en los que se documentó ferritina sérica y TSAT en el último año.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6">
            <w:pPr>
              <w:spacing w:after="480" w:lineRule="auto"/>
              <w:rPr>
                <w:rFonts w:ascii="Arial" w:cs="Arial" w:eastAsia="Arial" w:hAnsi="Arial"/>
                <w:color w:val="000000"/>
                <w:sz w:val="24"/>
                <w:szCs w:val="24"/>
              </w:rPr>
            </w:pPr>
            <w:sdt>
              <w:sdtPr>
                <w:id w:val="-1696582034"/>
                <w:tag w:val="goog_rdk_2"/>
              </w:sdtPr>
              <w:sdtContent>
                <w:r w:rsidDel="00000000" w:rsidR="00000000" w:rsidRPr="00000000">
                  <w:rPr>
                    <w:rFonts w:ascii="Arial Unicode MS" w:cs="Arial Unicode MS" w:eastAsia="Arial Unicode MS" w:hAnsi="Arial Unicode MS"/>
                    <w:color w:val="000000"/>
                    <w:sz w:val="24"/>
                    <w:szCs w:val="24"/>
                    <w:rtl w:val="0"/>
                  </w:rPr>
                  <w:t xml:space="preserve">≥ 85 %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7">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Oportunidad de respuesta en DH/anemia grave en FC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8">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solicitudes de tele-experticia con anemia grave (Hb &lt; 8 g/dL) en FC respondidas en el tiempo estipulado para emergencias.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9">
            <w:pPr>
              <w:spacing w:after="480" w:lineRule="auto"/>
              <w:rPr>
                <w:rFonts w:ascii="Arial" w:cs="Arial" w:eastAsia="Arial" w:hAnsi="Arial"/>
                <w:color w:val="000000"/>
                <w:sz w:val="24"/>
                <w:szCs w:val="24"/>
              </w:rPr>
            </w:pPr>
            <w:sdt>
              <w:sdtPr>
                <w:id w:val="-1012598703"/>
                <w:tag w:val="goog_rdk_3"/>
              </w:sdtPr>
              <w:sdtContent>
                <w:r w:rsidDel="00000000" w:rsidR="00000000" w:rsidRPr="00000000">
                  <w:rPr>
                    <w:rFonts w:ascii="Arial Unicode MS" w:cs="Arial Unicode MS" w:eastAsia="Arial Unicode MS" w:hAnsi="Arial Unicode MS"/>
                    <w:color w:val="000000"/>
                    <w:sz w:val="24"/>
                    <w:szCs w:val="24"/>
                    <w:rtl w:val="0"/>
                  </w:rPr>
                  <w:t xml:space="preserve">≥ 90 %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A">
            <w:pPr>
              <w:spacing w:after="480" w:lineRule="auto"/>
              <w:rPr>
                <w:rFonts w:ascii="Arial" w:cs="Arial" w:eastAsia="Arial" w:hAnsi="Arial"/>
                <w:color w:val="000000"/>
                <w:sz w:val="24"/>
                <w:szCs w:val="24"/>
              </w:rPr>
            </w:pPr>
            <w:sdt>
              <w:sdtPr>
                <w:id w:val="-873292740"/>
                <w:tag w:val="goog_rdk_4"/>
              </w:sdtPr>
              <w:sdtContent>
                <w:r w:rsidDel="00000000" w:rsidR="00000000" w:rsidRPr="00000000">
                  <w:rPr>
                    <w:rFonts w:ascii="Arial Unicode MS" w:cs="Arial Unicode MS" w:eastAsia="Arial Unicode MS" w:hAnsi="Arial Unicode MS"/>
                    <w:b w:val="1"/>
                    <w:bCs w:val="1"/>
                    <w:color w:val="000000"/>
                    <w:sz w:val="24"/>
                    <w:szCs w:val="24"/>
                    <w:rtl w:val="0"/>
                  </w:rPr>
                  <w:t xml:space="preserve">Indicación de hierro IV en FC + DH con FEVI ≤ 45 %</w:t>
                </w:r>
              </w:sdtContent>
            </w:sdt>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B">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pacientes con FC sintomática (HFrEF/HFmrEF), DH confirmada y Clase NYHA II–III en quienes se indicó hierro IV.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C">
            <w:pPr>
              <w:spacing w:after="480" w:lineRule="auto"/>
              <w:rPr>
                <w:rFonts w:ascii="Arial" w:cs="Arial" w:eastAsia="Arial" w:hAnsi="Arial"/>
                <w:color w:val="000000"/>
                <w:sz w:val="24"/>
                <w:szCs w:val="24"/>
              </w:rPr>
            </w:pPr>
            <w:sdt>
              <w:sdtPr>
                <w:id w:val="-598328324"/>
                <w:tag w:val="goog_rdk_5"/>
              </w:sdtPr>
              <w:sdtContent>
                <w:r w:rsidDel="00000000" w:rsidR="00000000" w:rsidRPr="00000000">
                  <w:rPr>
                    <w:rFonts w:ascii="Arial Unicode MS" w:cs="Arial Unicode MS" w:eastAsia="Arial Unicode MS" w:hAnsi="Arial Unicode MS"/>
                    <w:color w:val="000000"/>
                    <w:sz w:val="24"/>
                    <w:szCs w:val="24"/>
                    <w:rtl w:val="0"/>
                  </w:rPr>
                  <w:t xml:space="preserve">≥ 80 %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D">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Evitación del hierro oral en FC como tratamiento único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E">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pacientes con FC y DH en quienes se prescribió hierro oral como única intervención sin documentación de contraindicación al hierro IV.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F">
            <w:pPr>
              <w:spacing w:after="480" w:lineRule="auto"/>
              <w:rPr>
                <w:rFonts w:ascii="Arial" w:cs="Arial" w:eastAsia="Arial" w:hAnsi="Arial"/>
                <w:color w:val="000000"/>
                <w:sz w:val="24"/>
                <w:szCs w:val="24"/>
              </w:rPr>
            </w:pPr>
            <w:sdt>
              <w:sdtPr>
                <w:id w:val="-1422925839"/>
                <w:tag w:val="goog_rdk_6"/>
              </w:sdtPr>
              <w:sdtContent>
                <w:r w:rsidDel="00000000" w:rsidR="00000000" w:rsidRPr="00000000">
                  <w:rPr>
                    <w:rFonts w:ascii="Arial Unicode MS" w:cs="Arial Unicode MS" w:eastAsia="Arial Unicode MS" w:hAnsi="Arial Unicode MS"/>
                    <w:color w:val="000000"/>
                    <w:sz w:val="24"/>
                    <w:szCs w:val="24"/>
                    <w:rtl w:val="0"/>
                  </w:rPr>
                  <w:t xml:space="preserve">≤ 5 %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0">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Monitorización de TSAT y ferritina post-hierro IV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1">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pacientes tratados con hierro IV por DH en FC en quienes se documentó TSAT y ferritina entre la semana 4 y 12 post-infusión.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2">
            <w:pPr>
              <w:spacing w:after="480" w:lineRule="auto"/>
              <w:rPr>
                <w:rFonts w:ascii="Arial" w:cs="Arial" w:eastAsia="Arial" w:hAnsi="Arial"/>
                <w:color w:val="000000"/>
                <w:sz w:val="24"/>
                <w:szCs w:val="24"/>
              </w:rPr>
            </w:pPr>
            <w:sdt>
              <w:sdtPr>
                <w:id w:val="663929316"/>
                <w:tag w:val="goog_rdk_7"/>
              </w:sdtPr>
              <w:sdtContent>
                <w:r w:rsidDel="00000000" w:rsidR="00000000" w:rsidRPr="00000000">
                  <w:rPr>
                    <w:rFonts w:ascii="Arial Unicode MS" w:cs="Arial Unicode MS" w:eastAsia="Arial Unicode MS" w:hAnsi="Arial Unicode MS"/>
                    <w:color w:val="000000"/>
                    <w:sz w:val="24"/>
                    <w:szCs w:val="24"/>
                    <w:rtl w:val="0"/>
                  </w:rPr>
                  <w:t xml:space="preserve">≥ 80 %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3">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Evitación de agentes estimulantes de la eritropoyesis (AEE)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4">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pacientes con FC sin ERC avanzada en quienes se prescribieron AEE sin indicación de síndrome cardiorrenal con déficit real de EPO.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5">
            <w:pPr>
              <w:spacing w:after="480" w:lineRule="auto"/>
              <w:rPr>
                <w:rFonts w:ascii="Arial" w:cs="Arial" w:eastAsia="Arial" w:hAnsi="Arial"/>
                <w:color w:val="000000"/>
                <w:sz w:val="24"/>
                <w:szCs w:val="24"/>
              </w:rPr>
            </w:pPr>
            <w:sdt>
              <w:sdtPr>
                <w:id w:val="-755266573"/>
                <w:tag w:val="goog_rdk_8"/>
              </w:sdtPr>
              <w:sdtContent>
                <w:r w:rsidDel="00000000" w:rsidR="00000000" w:rsidRPr="00000000">
                  <w:rPr>
                    <w:rFonts w:ascii="Arial Unicode MS" w:cs="Arial Unicode MS" w:eastAsia="Arial Unicode MS" w:hAnsi="Arial Unicode MS"/>
                    <w:color w:val="000000"/>
                    <w:sz w:val="24"/>
                    <w:szCs w:val="24"/>
                    <w:rtl w:val="0"/>
                  </w:rPr>
                  <w:t xml:space="preserve">≤ 3 %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6">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Monitorización del fósforo sérico tras dosis de FCM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7">
            <w:pPr>
              <w:spacing w:after="480" w:lineRule="auto"/>
              <w:rPr>
                <w:rFonts w:ascii="Arial" w:cs="Arial" w:eastAsia="Arial" w:hAnsi="Arial"/>
                <w:color w:val="000000"/>
                <w:sz w:val="24"/>
                <w:szCs w:val="24"/>
              </w:rPr>
            </w:pPr>
            <w:sdt>
              <w:sdtPr>
                <w:id w:val="291525973"/>
                <w:tag w:val="goog_rdk_9"/>
              </w:sdtPr>
              <w:sdtContent>
                <w:r w:rsidDel="00000000" w:rsidR="00000000" w:rsidRPr="00000000">
                  <w:rPr>
                    <w:rFonts w:ascii="Arial Unicode MS" w:cs="Arial Unicode MS" w:eastAsia="Arial Unicode MS" w:hAnsi="Arial Unicode MS"/>
                    <w:color w:val="000000"/>
                    <w:sz w:val="24"/>
                    <w:szCs w:val="24"/>
                    <w:rtl w:val="0"/>
                  </w:rPr>
                  <w:t xml:space="preserve">% pacientes que reciben ≥ 2 dosis de FCM en los que se documentó fósforo sérico en los 30 días posteriores a cada dosis.</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8">
            <w:pPr>
              <w:spacing w:after="480" w:lineRule="auto"/>
              <w:rPr>
                <w:rFonts w:ascii="Arial" w:cs="Arial" w:eastAsia="Arial" w:hAnsi="Arial"/>
                <w:color w:val="000000"/>
                <w:sz w:val="24"/>
                <w:szCs w:val="24"/>
              </w:rPr>
            </w:pPr>
            <w:sdt>
              <w:sdtPr>
                <w:id w:val="-1518708650"/>
                <w:tag w:val="goog_rdk_10"/>
              </w:sdtPr>
              <w:sdtContent>
                <w:r w:rsidDel="00000000" w:rsidR="00000000" w:rsidRPr="00000000">
                  <w:rPr>
                    <w:rFonts w:ascii="Arial Unicode MS" w:cs="Arial Unicode MS" w:eastAsia="Arial Unicode MS" w:hAnsi="Arial Unicode MS"/>
                    <w:color w:val="000000"/>
                    <w:sz w:val="24"/>
                    <w:szCs w:val="24"/>
                    <w:rtl w:val="0"/>
                  </w:rPr>
                  <w:t xml:space="preserve">≥ 75 %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9">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Tasa de transfusión potencialmente inapropiada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A">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pacientes con FC estable y Hb entre 7–8 g/dL sin síntomas isquémicos agudos que recibieron transfusión como primera opción sin hierro IV.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B">
            <w:pPr>
              <w:spacing w:after="480" w:lineRule="auto"/>
              <w:rPr>
                <w:rFonts w:ascii="Arial" w:cs="Arial" w:eastAsia="Arial" w:hAnsi="Arial"/>
                <w:color w:val="000000"/>
                <w:sz w:val="24"/>
                <w:szCs w:val="24"/>
              </w:rPr>
            </w:pPr>
            <w:sdt>
              <w:sdtPr>
                <w:id w:val="-457416409"/>
                <w:tag w:val="goog_rdk_11"/>
              </w:sdtPr>
              <w:sdtContent>
                <w:r w:rsidDel="00000000" w:rsidR="00000000" w:rsidRPr="00000000">
                  <w:rPr>
                    <w:rFonts w:ascii="Arial Unicode MS" w:cs="Arial Unicode MS" w:eastAsia="Arial Unicode MS" w:hAnsi="Arial Unicode MS"/>
                    <w:color w:val="000000"/>
                    <w:sz w:val="24"/>
                    <w:szCs w:val="24"/>
                    <w:rtl w:val="0"/>
                  </w:rPr>
                  <w:t xml:space="preserve">≤ 5 %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C">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Completitud del registro de tele-experticia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D">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tele-experticias con registro completo en historia clínica (solicitud, concepto, conducta adoptada, plan de monitorización).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E">
            <w:pPr>
              <w:spacing w:after="480" w:lineRule="auto"/>
              <w:rPr>
                <w:rFonts w:ascii="Arial" w:cs="Arial" w:eastAsia="Arial" w:hAnsi="Arial"/>
                <w:color w:val="000000"/>
                <w:sz w:val="24"/>
                <w:szCs w:val="24"/>
              </w:rPr>
            </w:pPr>
            <w:sdt>
              <w:sdtPr>
                <w:id w:val="-1101873051"/>
                <w:tag w:val="goog_rdk_12"/>
              </w:sdtPr>
              <w:sdtContent>
                <w:r w:rsidDel="00000000" w:rsidR="00000000" w:rsidRPr="00000000">
                  <w:rPr>
                    <w:rFonts w:ascii="Arial Unicode MS" w:cs="Arial Unicode MS" w:eastAsia="Arial Unicode MS" w:hAnsi="Arial Unicode MS"/>
                    <w:color w:val="000000"/>
                    <w:sz w:val="24"/>
                    <w:szCs w:val="24"/>
                    <w:rtl w:val="0"/>
                  </w:rPr>
                  <w:t xml:space="preserve">≥ 95 %</w:t>
                </w:r>
              </w:sdtContent>
            </w:sdt>
          </w:p>
        </w:tc>
      </w:tr>
    </w:tbl>
    <w:p w:rsidR="00000000" w:rsidDel="00000000" w:rsidP="00000000" w:rsidRDefault="00000000" w:rsidRPr="00000000" w14:paraId="000000AF">
      <w:pPr>
        <w:pStyle w:val="Head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0">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 Bibliografía</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McDonagh TA, Metra M, Adamo M, et al. 2023 Focused Update of the 2021 ESC Guidelines for the Diagnosis and Treatment of Acute and Chronic Heart Failure.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Eur Heart J</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2023;44(37):3627–3639.</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Heidenreich PA, Bozkurt B, Aguilar D, et al. 2022 AHA/ACC/HFSA Guideline for the Management of Heart Failure.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Circulation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2022;145(18):e876–e894.</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Ponikowski P, Kirwan BA, Anker SD, et al. Ferric carboxymaltose for iron deficiency at discharge after acute heart failure (AFFIRM-AHF).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Lancet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2020;396(10266):1895–1904.</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Mentz RJ, Garg J, Rockhold FW, et al. Ferric Carboxymaltose in Heart Failure with Iron Deficiency (HEART-FID).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 Engl J Med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2023;389(11):975–986.</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Kalra PR, Cleland JGF, Petrie MC, et al. Intravenous ferric derisomaltose in patients with heart failure and iron deficiency (IRONMAN).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Lancet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2022;400(10369):2199–2209.</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Lewis GD, Malhotra R, Hernandez AF, et al. Effect of oral iron repletion on exercise capacity in patients with HFrEF and iron deficiency (IRONOUT HF).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JAMA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2017;317(19):1958–1966.</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 L, Liu M, Luo Y, Cao H. Impact of anemia on clinical outcomes in patients with acute heart failure: a systematic review and meta-analysis.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Clin Cardiol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2024;47(1): e24228.</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Martens P, Tang WHW. Defining iron deficiency in heart failure: importance of transferrin saturation.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Circ Heart Fail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2024;17(3):e011440.</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2654 de 2019. Por la cual se regula la prestación de servicios de salud a través de la modalidad de telesalud. Ministerio de Salud y Protección Social, Colombia.</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1419 de 2010. Por medio de la cual se establece la Política Nacional de Telesalud. Colombia.</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 Por la cual se dictan disposiciones generales para la protección de datos personales en Colombia.</w:t>
      </w:r>
    </w:p>
    <w:p w:rsidR="00000000" w:rsidDel="00000000" w:rsidP="00000000" w:rsidRDefault="00000000" w:rsidRPr="00000000" w14:paraId="000000BC">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14. Firmas y Control de Versiones</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Raúl Eduardo Walteros | Médico Hematólogo</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Revisa: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Oficina de Gestión de la Calidad y Comité de Telemedicina Institucional</w:t>
      </w:r>
    </w:p>
    <w:p w:rsidR="00000000" w:rsidDel="00000000" w:rsidP="00000000" w:rsidRDefault="00000000" w:rsidRPr="00000000" w14:paraId="000000BF">
      <w:pPr>
        <w:rPr>
          <w:rFonts w:ascii="Arial" w:cs="Arial" w:eastAsia="Arial" w:hAnsi="Arial"/>
          <w:color w:val="000000"/>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bl>
    <w:tblPr>
      <w:tblStyle w:val="Table4"/>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C2">
          <w:pPr>
            <w:jc w:val="center"/>
            <w:rPr>
              <w:sz w:val="28"/>
              <w:szCs w:val="28"/>
            </w:rPr>
          </w:pPr>
          <w:r w:rsidDel="00000000" w:rsidR="00000000" w:rsidRPr="00000000">
            <w:rPr>
              <w:rFonts w:ascii="Arial" w:cs="Arial" w:eastAsia="Arial" w:hAnsi="Arial"/>
              <w:b w:val="1"/>
              <w:bCs w:val="1"/>
              <w:sz w:val="28"/>
              <w:szCs w:val="28"/>
              <w:rtl w:val="0"/>
            </w:rPr>
            <w:t xml:space="preserve">PROTOCOLO DE TELE-EXPERTICIA PARA EL MANEJO DE LA ANEMIA EN FALLA CARDÍACA (FC)</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gxsIJYr+G/Hi+hyNzxHiacp3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zIOaC5xbWdpd3RvYzQ4bXU4AHIhMUN1RXFIM2d5aXFPbVhuY1NoTTVYVm9KQlNZMGVqM1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