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 Hemorragia Uterina Anormal (HUA) es uno de los motivos de consulta más frecuentes en los servicios de ginecología y urgencias, impactando drásticamente la calidad de vida, la salud reproductiva y el estado hemodinámico de las mujeres en edad fértil y peri/postmenopausia. La falta de un enfoque sistemático inicial (clasificación PALM-COEIN) y el retraso en la estabilización de hemorragias masivas incrementan el riesgo de anemia severa, transfusiones e intervenciones quirúrgicas radicales prevenibles.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través de la modalidad de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sincrónica, se vincula al profesional del sitio de atención (centro remisor de baja complejidad) con el especialista en Ginecología y Obstetricia del centro referente (Hospital Universitario Nacional de Colombia - HUN). Esto permite guiar el diagnóstico etiológico, optimizar el manejo médico agudo o crónico y coordinar traslados seguros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sólo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cuando la complejidad del caso lo amerite.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Optimizar la respuesta clínica, el diagnóstico etiológico y la toma de decisiones terapéuticas ante la Hemorragia Uterina Anormal mediante la modalidad de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sincrónica, facilitando la interacción especializada entre el profesional de salud en el sitio de atención (remisor) y el médico especialista en ginecología y obstetricia (referente), con el fin de garantizar una intervención oportuna, segura y basada en la evidencia que reduzca las complicaciones y hospitalizaciones innecesarias en entornos de baja complejidad o difícil acceso.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Estandarizar el Triaje y Clasificación de la HUA: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Definir criterios clínico-paraclínicos claros (bajo la clasificación PALM-COEIN) para que el médico remisor identifique si la hemorragia es aguda (con riesgo hemodinámico) o crónica, activando el canal de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según la prioridad requerida.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Sincronizar el Manejo Farmacológico en Tiempo Real: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Establecer un canal bidireccional que permita al ginecobstetra (referente) guiar al médico general o enfermera (remisor) en la dosificación de esquemas antifibrinolíticos, terapia hormonal de choque o manejo de soporte hemodinámico inicial.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Optimizar la Ruta de Enfoque Diagnóstico: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Protocolizar la asistencia remota para la interpretación conjunta de laboratorios (hemograma, pruebas de coagulación, β-hCG) y ecografías pélvicas/transvaginales, evitando conductas erróneas.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Delimitar Responsabilidades y Soporte Jurídico-Clínico: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Precisar en el registro de la historia clínica digital (Hosvital) los roles del profesional presencial (responsable de la ejecución de maniobras o exámenes físicos) y del especialista remoto (responsable del asesoramiento), asegurando la trazabilidad del caso.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Coordinar el Traslado Seguro: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Gestionar mediante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los criterios de estabilización hematológica previa antes de iniciar un transporte medicalizado hacia niveles de mayor complejidad (II, III o IV) si se requiere manejo quirúrgico (histeroscopia, legrado uterino o histerectomía).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Fortalecer la Capacidad Resolutiva del Nivel Primario: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Brindar un espacio de formación continua "en el puesto de trabajo"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point-of-care learning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) para que el médico del centro remisor apropie herramientas de manejo no invasivo de la HUA.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Alcance Poblacional: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Aplica a todas las pacientes en edad fértil (menarquia en adelante), mujeres en transición a la menopausia y pacientes postmenopáusicas que consulten por sangrado uterino anormal en volumen, duración o frecuencia,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excluyendo a las mujeres gestantes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(cuyo sangrado se rige por protocolos de obstetricia). Incluye diagnósticos de HUA Aguda,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Crónica y Sangrado Postmenopáusico.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Alcance Prestacional (Territorial):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Inicia en las IPS de baja complejidad o servicios de atención primaria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remisores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) con consulta externa, urgencias u hospitalización, y se extiende hasta la interacción con el nivel de mayor complejidad (referente - HUN) con disponibilidad de Ginecología y Obstetricia.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Alcance Clínico-Asistencial: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Comprende la validación diagnóstica (clasificación etiológica), asesoría en terapia de supresión (médica) y la determinación de la conducta (manejo ambulatorio, hospitalario local o remisión quirúrgica).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Alcance Tecnológico: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Limitado a la provisión mediante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sincrónica (en tiempo real) por plataformas corporativas seguras que garanticen la privacidad de la historia clínica.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Exclusiones: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Este protocolo no sustituye el juicio clínico en maniobras físicas de reanimación por choque hipovolémico severo (Código Rojo), las cuales se inician de inmediato mientras se establece la conexión.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MARCO NORMATIVO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Normatividad en Telesalud y Telemedicina en Colombia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Resolución 2654 de 2019: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Regula las disposiciones para la telesalud y parámetros de la telemedicina en Colombia.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Resolución 3100 de 2019: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Define los estándares de habilitación de servicios de salud (modalidades virtuales y telemedicina).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Lineamientos para el desarrollo de la Telesalud en Colombia.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Ley 1581 de 2012: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Protección de Datos Personales (Habeas Data).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Decreto 538 de 2020: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Medidas de optimización de redes de telemedicina para emergencias.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Guías del Ministerio de Salud y Protección Social en Telesalud.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Soporte Normativo y Técnico Clínico Ginecológico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Resolución 3280 de 2018: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Ruta Integral de Atención para la Promoción y Mantenimiento de la Salud (Atención en salud sexual y reproductiva).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Guías y Consensos de la Federación Colombiana de Obstetricia y Ginecología (FECOLSOG) y la FIGO: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Clasificación y manejo del Sangrado Uterino Anormal (Sistema PALM-COEIN).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DEFINICIONES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Conceptos de Telesalud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Telesalud: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Conjunto de actividades relacionadas con la salud, servicios y métodos, los cuales se llevan a cabo a distancia con la ayuda de las tecnologías de la información y telecomunicaciones. Incluye, entre otras, la Telemedicina y la Teleeducación en salud.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Teleapoyo: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Soporte solicitado por un profesional de la salud a otro profesional de la salud a través de tecnologías de la información y comunicaciones en el marco del relacionamiento entre profesionales.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 la relación a distancia con método de comunicación sincrónico o asincrónico para la provisión de servicios de salud en cualquiera de sus componentes, utilizando tecnologías de información y comunicación entre: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Dos profesionales de la salud, uno de los cuales atiende presencialmente al usuario y otro atiende a distancia. El profesional que atiende presencialmente al usuario es responsable del tratamiento y de las decisiones y recomendaciones entregadas al paciente y el que atiende a distancia actúa como apoyo o asesor.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Profesionales de la salud que en junta médica realizan una interconsulta o una asesoría.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Personal de salud no profesional que solicita el apoyo de un profesional de la salud para la toma de decisiones.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Sincrónica (HUA):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Relación médico-médico en tiempo real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vídeo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/audio) donde un profesional remisor consulta a un ginecobstetra referente para la toma de decisiones clínicas inmediatas.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Estabilización Hemostática Remota: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Control farmacológico inicial del sangrado guiado por el experto a distancia previo al traslado o egreso.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Constructos Clínicos (Sistema FIGO - PALM-COEIN)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 el acrónimo utilizado internacionalmente para clasificar las causas de HUA, dividido en causas estructurales y no estructurales: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PALM (Estructurales - Evaluables por imágenes/biopsia):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ólipo,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denomiosis,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eiomioma (miomas),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alignidad e hiperplasia.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COEIN (No estructurales):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oagulopatía, Disfunción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vulatoria,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ndometrial,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atrogénica,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clasificada.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HUA Aguda: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Episodio de sangrado abundante que, en opinión del clínico, es de gravedad suficiente para requerir una intervención inmediata para prevenir una mayor pérdida de sangre.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HUA Crónica: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Sangrado presente en la mayor parte de los últimos 6 meses.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Farmacología Crítica Aplicada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Ácido Tranexámico (Antifibrinolítico):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Utilizado en HUA aguda o cíclica abundante. Dosis: 1 mg IV lento cada 8 horas (en crisis aguda) u opciones vía oral de 1g a 1.5g cada 8 horas por un máximo de 4 a 5 días durante el sangrado.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otxyn8rtgt2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Terapia Estrogénica de Choque (Para HUA aguda severa sin respuesta):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Estrógenos conjugados 25 mg IV cada 4-6 horas o dosis altas de anticonceptivos orales combinados (AOC) según indicación del referente.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Progestágenos (Disfunción ovulatoria/endometrial):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Acetato de medroxiprogesterona (10-20 mg día) 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Noretestirona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indicados por el referente para estabilizar el endometrio.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Esquema de Soporte Hematológico: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Prescripción guiada de Hierro carboximaltosa o Hierro Sacarato IV en casos de anemia moderada a severa persistente hemodinámicamente estable.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FLUJO OPERATIVO Y CLÍNICO TELESALUD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c8c8c8" w:space="0" w:sz="4" w:val="single"/>
          <w:left w:color="c8c8c8" w:space="0" w:sz="4" w:val="single"/>
          <w:bottom w:color="c8c8c8" w:space="0" w:sz="4" w:val="single"/>
          <w:right w:color="c8c8c8" w:space="0" w:sz="4" w:val="single"/>
          <w:insideH w:color="c8c8c8" w:space="0" w:sz="4" w:val="single"/>
          <w:insideV w:color="c8c8c8" w:space="0" w:sz="4" w:val="single"/>
        </w:tblBorders>
        <w:tblLayout w:type="fixed"/>
        <w:tblLook w:val="04A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612.0" w:type="dxa"/>
              <w:jc w:val="left"/>
              <w:tblBorders>
                <w:top w:color="5b9bd5" w:space="0" w:sz="8" w:val="single"/>
                <w:bottom w:color="5b9bd5" w:space="0" w:sz="8" w:val="single"/>
              </w:tblBorders>
              <w:tblLayout w:type="fixed"/>
              <w:tblLook w:val="04A0"/>
            </w:tblPr>
            <w:tblGrid>
              <w:gridCol w:w="870"/>
              <w:gridCol w:w="2023"/>
              <w:gridCol w:w="1740"/>
              <w:gridCol w:w="3979"/>
              <w:tblGridChange w:id="0">
                <w:tblGrid>
                  <w:gridCol w:w="870"/>
                  <w:gridCol w:w="2023"/>
                  <w:gridCol w:w="1740"/>
                  <w:gridCol w:w="39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Etapa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Actividad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Acción / Detalle Clínico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Identificación de necesidad de tele-experticia</w:t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Profesional asistencial</w:t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Sospecha clínica de HUA aguda, anemia aguda o masa pélvica sangrante. Realiza anamnesis, tacto vaginal/especuloscopia (para descartar sangrado cervical/vaginal o aborto) y toma constantes.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Verificación de requisitos clínicos y consentimiento</w:t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Centro Remisor</w:t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Confirmar criterios de inclusión clínicos y diligenciar el consentimiento informado para el uso de medios virtuales.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0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Diligenciamiento de solicitud y envío de datos clínicos</w:t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Profesional solicitante</w:t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Reporte al HUN a través de las líneas telefónicas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3228234549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 /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3228234532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 o al correo telemedicina.digital@hun.edu.co, implementando el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Modelo SBAR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 (Situación, Antecedentes, Evaluación, Recomendación).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4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/>
                <w:p w:rsidR="00000000" w:rsidDel="00000000" w:rsidP="00000000" w:rsidRDefault="00000000" w:rsidRPr="00000000" w14:paraId="00000055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Recepción y validación de información</w:t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Centro Referente / profesional experto</w:t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El ginecobstetra del HUN acepta el caso, el cual queda cargado administrativamente en la plataforma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Hosvital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8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Análisis de caso y concepto clínico</w:t>
                  </w:r>
                </w:p>
              </w:tc>
              <w:tc>
                <w:tcPr/>
                <w:p w:rsidR="00000000" w:rsidDel="00000000" w:rsidP="00000000" w:rsidRDefault="00000000" w:rsidRPr="00000000" w14:paraId="0000005A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Profesional experto</w:t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Clasificación etiológica bajo PALM-COEIN, revisión digital de imágenes ecográficas y registro del concepto en la historia clínica de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Hosvital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C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Envío ordenamiento</w:t>
                  </w:r>
                </w:p>
              </w:tc>
              <w:tc>
                <w:tcPr/>
                <w:p w:rsidR="00000000" w:rsidDel="00000000" w:rsidP="00000000" w:rsidRDefault="00000000" w:rsidRPr="00000000" w14:paraId="0000005E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Profesional experto</w:t>
                  </w:r>
                </w:p>
              </w:tc>
              <w:tc>
                <w:tcPr/>
                <w:p w:rsidR="00000000" w:rsidDel="00000000" w:rsidP="00000000" w:rsidRDefault="00000000" w:rsidRPr="00000000" w14:paraId="0000005F">
                  <w:pPr>
                    <w:spacing w:after="160" w:line="259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Envío de la conducta médica, esquemas farmacológicos de supresión y soporte a través del correo corporativo institucional.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CRITERIOS DE INCLUSIÓN / EXCLUSIÓN TELESALUD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Criterios de Inclusión Clínicos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Mujer no gestante con sangrado uterino abundante que altera su estado hemodinámico o genera anemia (Hb &lt; 10 g/dL).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HUA crónica sin respuesta a tratamientos médicos de primera línea en el nivel primario.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Sangrado uterino en mujeres postmenopáusicas (un año o más de amenorrea) para guiar la ruta de sospecha oncológica.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Hallazgo ecográfico de masas uterinas (miomas grandes, pólipos, engrosamiento endometrial &gt; 12 mm en edad fértil o 4-5 mm en postmenopausia) asociado a sangrado.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Criterios de Exclusión (Bypass Directo a Remisión / Código Rojo)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Choque hipovolémico refractario (pérdida masiva con alteración de la conciencia, índice de choque &gt; 1.1).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Sospecha de perforación uterina o abdomen agudo ginecológico asociado.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Hemorragia masiva por sospecha de cáncer de cérvix avanzado exofítico con indicación de taponamiento vaginal rígido de urgencia.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Acción: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Traslado físico inmediato. El tele apoyo se usa exclusivamente de forma remota en el tránsito de la ambulancia.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Criterios de Remisión Física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Pacientes que requieran de forma indispensable manejo quirúrgico inmediato (legrado uterino, histeroscopia urgente o histerectomía).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Pacientes que presenten requerimiento de transfusión masiva de hemoderivados si no están disponibles en el centro remisor.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Direccionamiento coordinado a través del CRUE hacia el HUN u otra institución de la red hospitalaria.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ROLES Y RESPONSABILIDADES TELESALUD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Profesional Solicitante (Centro Remisor - Médico General/Enfermería)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Generar la solicitud formal de tele-experticia activando los canales de comunicación del HUN.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Garantizar información clínica clara, completa y pertinente estructurando el caso bajo el modelo SBAR.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Asegurar el consentimiento informado firmado por la paciente para el uso de las tecnologías de soporte digital.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Realizar de forma mandatoria el examen físico (especuloscopia mandatoria), inserción de accesos venosos, toma de constantes y paraclínicos urgentes (destacando la β-hCG obligatoria para descarte de gestación).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Ejecutar las acciones, órdenes y esquemas de supresión de medicamentos derivados de las recomendaciones del experto remoto.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Registrar en la historia clínica local el soporte brindado: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"Caso evaluado conjuntamente por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 sincrónica con el Dr. [Nombre del Ginecobstetra] del HUN, quien determina conducta de..."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Profesional Experto (Centro Referente - Ginecobstetra HUN)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Analizar de forma exhaustiva la información clínica e imágenes transmitidas digitalmente.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Clasificar y tipificar el sangrado uterino bajo el sistema internacional PALM-COEIN.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Emitir conceptos técnico-clínicos y prescribir con fundamentos en la evidencia las dosis hormonales de choque, los esquemas antifibrinolíticos o el soporte hematológico idóneo.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Definir de manera concertada la disposición final de la conducta (manejo ambulatorio vs. remisión para intervención quirúrgica).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Registrar y formalizar con oportunidad jurídica la opinión médica en la historia clínica digital de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Hosvital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TIEMPOS DE RESPUESTA SUGERIDOS (TRIAJE VIRTUAL)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Prioridad I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(Emergencia):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HUA Aguda con inestabilidad hemodinámica inicial, caída de Hb &gt;3 g/dL o índice de choque alterado.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Tiempo máximo de conexión: Inmediata (&lt; 5 min)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Prioridad II (Urgencia):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HUA Aguda abundante con estabilidad hemodinámica transitoria, anemia moderada (Hb 7-9 g/dL).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Tiempo máximo de conexión: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&lt; 15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minutos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Prioridad III (Prioritario):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Sangrado postmenopáusico sin anemia severa (sospecha oncológica estructural).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Tiempo máximo de conexión: &lt; 60 minutos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Prioridad IV (Consulta):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HUA Crónica refractaria a manejo ambulatorio, revisión de reportes ecográficos.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Tiempo máximo de conexión: Programada (Mismo día)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Cronometría de los "Minutos de Oro" en HUA Aguda: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Minuto 0 - 10: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Evaluación clínica (especuloscopia) + canalización de dos venas + toma de laboratorios (β-hCG obligatoria).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Minuto 10 - 20: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Enlace con el Ginecobstetra del HUN. Transmisión del caso SBAR.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Minuto 20 - 45: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Aplicación de la primera dosis de Ácido Tranexámico IV o inicio de terapia estrogénica/progestágena según indicación del referente. Transfusión si Hb &lt;7 g/dL y se dispone de hemoderivados.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Minuto 45 - 60: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Decisión de destino (alta con tratamiento oral vs remisión a legrado o histeroscopia urgente).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ESTRATEGIAS DE HUMANIZACIÓN DIGITAL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Preservación del Pudor en Salud Digital: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El examen ginecológico íntimo (especuloscopia o tacto vaginal)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jamás se transmitirá por video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soporte de video de la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 usará exclusivamente para la interacción médico-médico, la visualización compartida de los monitores de signos vitales o la cara de la paciente para evaluar objetivamente la palidez mucocutánea general, previo consentimiento informado de ella.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DIÁLOGO INTERCULTURAL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equipo médico abordará la condición de sangrado genital abundante con absoluto respeto, reconociendo de antemano que en diversas comunidades genera aislamiento social, tabúes o vergüenza.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explicará el uso de los fármacos reguladores de hormonas de manera asertiva y sin juzgar las prácticas de higiene tradicionales de la paciente.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permitirá la integración de toallas de tela limpias si la paciente las prefiere y se siente más cómoda con ellas sobre los insumos desechables durante su estancia hospitalaria local.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INDICADORES (MODELO DONABEDIAN)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Tasa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Remisiones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Evitadas por HUA Crónica (Resultado):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Porcentaje de pacientes con HUA no estructurales (COEIN) manejadas exitosamente de forma médica en el primer nivel bajo guía del HUN, sin requerir traslado físico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(Meta: 40%)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Seguridad Diagnóstica (Proceso):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Porcentaje de Telexperticia de HUA que cuentan con descarte documentado de embarazo mediante prueba de beta-hCG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(Meta: 100%)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Munro, M. G., Critchley, H. O., Broder, M. S., &amp; FIGO Working Group on Menstrual Disorders. (2018).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FIGO classification system (PALM-COEIN) for causes of abnormal uterine bleeding in nongravid women of reproductive age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International Journal of Gynecology &amp; Obstetrics, 113(1), 3-13.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Ministerio de Salud y Protección Social de Colombia. (2019).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Resolución 2654 de 2019: Parámetros para la práctica de la telemedicina en Colombia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Ministerio de Salud y Protección Social de Colombia. (2018).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Resolución 3280 de 2018: Rutas de Atención Integral en Salud (RIAS)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American College of Obstetricians and Gynecologists (ACOG). (2019).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Management of Acute Abnormal Uterine Bleeding in Nonpregnant Women of Reproductive Age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Committee Opinion No. 557.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Construyó: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Dra. Dauris Mejía especialista en ginecología. 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09.0" w:type="dxa"/>
      <w:jc w:val="left"/>
      <w:tblInd w:w="-7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7"/>
      <w:gridCol w:w="2349"/>
      <w:gridCol w:w="3376"/>
      <w:gridCol w:w="2057"/>
      <w:tblGridChange w:id="0">
        <w:tblGrid>
          <w:gridCol w:w="2527"/>
          <w:gridCol w:w="2349"/>
          <w:gridCol w:w="3376"/>
          <w:gridCol w:w="2057"/>
        </w:tblGrid>
      </w:tblGridChange>
    </w:tblGrid>
    <w:tr>
      <w:trPr>
        <w:cantSplit w:val="0"/>
        <w:trHeight w:val="2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9B">
          <w:pPr>
            <w:jc w:val="center"/>
            <w:rPr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PROTOCOLO DE TELEMEDICINA PARA EL MANEJO DE LA HEMORRAGIA UTERINA ANORMAL (HUA)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30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cecec" w:val="clear"/>
      </w:tcPr>
    </w:tblStylePr>
    <w:tblStylePr w:type="band1Vert">
      <w:tcPr>
        <w:shd w:fill="ececec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8c8c8" w:space="0" w:sz="4" w:val="single"/>
        </w:tcBorders>
      </w:tcPr>
    </w:tblStylePr>
    <w:tblStylePr w:type="nwCell">
      <w:tcPr>
        <w:tcBorders>
          <w:bottom w:color="c8c8c8" w:space="0" w:sz="4" w:val="single"/>
        </w:tcBorders>
      </w:tcPr>
    </w:tblStylePr>
    <w:tblStylePr w:type="seCell">
      <w:tcPr>
        <w:tcBorders>
          <w:top w:color="c8c8c8" w:space="0" w:sz="4" w:val="single"/>
        </w:tcBorders>
      </w:tcPr>
    </w:tblStylePr>
    <w:tblStylePr w:type="swCell">
      <w:tcPr>
        <w:tcBorders>
          <w:top w:color="c8c8c8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6e6f4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6e6f4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5b9bd5" w:space="0" w:sz="8" w:val="single"/>
          <w:left w:color="000000" w:space="0" w:sz="0" w:val="nil"/>
          <w:bottom w:color="5b9bd5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5b9bd5" w:space="0" w:sz="8" w:val="single"/>
          <w:left w:color="000000" w:space="0" w:sz="0" w:val="nil"/>
          <w:bottom w:color="5b9bd5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ahmOiWRhjjlRqPwKOs2xhQrzUw==">CgMxLjAyDmguN290eHluOHJ0Z3QyOAByITFQc2Jzcnc1ME1NUW9CUktadGRXZWUxTWJndk1PcVJsaQ==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