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x1p6c9r9p7aa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Anemia Hemolítica Autoinmune (AIHA) representa un grupo heterogéneo de enfermedades raras y potencialmente graves, caracterizadas por la destrucción acelerada de eritrocitos mediada por autoanticuerpos. Debido a la complejidad de su clasificación serológica (anticuerpos calientes, fríos o mixtos) y al riesgo inminente de complicaciones graves como eventos trombóticos y crisis hemolíticas, es fundamental un abordaje diagnóstico preciso antes de iniciar terapias inmunosupresoras. La modalidad de tele-experticia intrahospitalaria conecta al personal asistencial de primer y segundo nivel con la especialidad de hematología, permitiendo orientar el diagnóstico diferencial, optimizar las líneas de tratamiento y definir criterios seguros de remisión presencial. </w:t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los lineamientos operativos, asistenciales y clínicos para la atención por tele-experticia intrahospitalaria en pacientes con sospecha o diagnóstico confirmado de Anemia Hemolítica Autoinmune (AIHA) en el primer y segundo nivel de atención, apoyando la identificación del subtipo, la toma de decisiones terapéuticas, la estratificación del riesgo trombótico y la remisión oportuna a hematología. 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el proceso operativo de solicitud, validación, respuesta y registro de la tele-experticia en AIHA.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Orientar el diagnóstico diferencial entre los subtipos de AIHA (wAIHA, CAD, mixta, PCH y DAT-negativa) mediante la correcta interpretación de la Prueba de Antiglobulina Directa (DAT) monoespecífica.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Guiar la selección terapéutica de primera y segunda línea, así como el manejo profiláctico del riesgo trombótico según la evidencia científica actual.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criterios claros de inclusión, exclusión y remisión prioritaria al servicio de hematología, delimitando las responsabilidades de cada actor para garantizar la seguridad del paciente. 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 a médicos generales, personal de enfermería, coordinadores del programa y equipos de soporte tecnológico y de calidad del primer y segundo nivel de atención, para la atención intrahospitalaria de pacientes con AIHA confirmada o sospechada. 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Marco Normativo</w:t>
      </w:r>
    </w:p>
    <w:p w:rsidR="00000000" w:rsidDel="00000000" w:rsidP="00000000" w:rsidRDefault="00000000" w:rsidRPr="00000000" w14:paraId="0000000D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Normatividad General en Telesalud y Protección de Datos (Colombia)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telesalud y establece las disposiciones para la telemedicina en Colombia.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las condiciones y los estándares de habilitación para prestadores de servicios de salud, incluyendo la modalidad de telemedicina.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los lineamientos de la Política Nacional de Telesalud en Colombia.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Marco estatutario para la Protección de Datos Personales, aplicable al manejo de historias clínicas y datos sensibles en telesalud.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medidas en telemedicina en el marco de emergencias sanitarias.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3280 de 2018 (MinSalud):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Adopta los lineamientos técnicos y operativos de las Rutas Integrales de Atención en Salud (RIAS). </w:t>
      </w:r>
    </w:p>
    <w:p w:rsidR="00000000" w:rsidDel="00000000" w:rsidP="00000000" w:rsidRDefault="00000000" w:rsidRPr="00000000" w14:paraId="00000014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Normatividad y Guías Clínicas de Soporte Especializado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Consenso Internacional de Diagnóstico y Tratamiento de AIHA en adultos (Blood Reviews, 2020).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Consensos de Clasificación y Tratamiento (Brodsky RA, NEJM 2019; Berentsen S &amp; Barcellini W, NEJM 2021).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Nuevas fronteras terapéuticas en AIHA (Barcellini &amp; Fattizzo, Blood Rev 2026). </w:t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Definiciones</w:t>
      </w:r>
    </w:p>
    <w:p w:rsidR="00000000" w:rsidDel="00000000" w:rsidP="00000000" w:rsidRDefault="00000000" w:rsidRPr="00000000" w14:paraId="00000019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Términos de Telesalud y Telemedicina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actividades relacionadas con la salud, servicios y métodos, los cuales se llevan a cabo a distancia con la ayuda de las tecnologías de la información y telecomunicaciones. Incluye, entre otras, la Telemedicina y la Teleeducación en salud.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solicitado por un profesional de la salud a otro profesional de la salud a través de tecnologías de la información y comunicaciones en el marco del relacionamiento entre instituciones prestadoras de servicios de salud.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Teleexperticia: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Relación a distancia con método de comunicación sincrónico o asincrónico para la provisión de servicios de salud utilizando tecnologías de información y comunicación entre: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Dos profesionales de la salud, uno de los cuales atiende presencialmente al usuario y otro atiende a distancia. El profesional presencial es el responsable del tratamiento, decisiones y recomendaciones, y el que atiende a distancia actúa como apoyo o asesor.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Profesionales de la salud que en junta médica realizan una interconsulta o una asesoría.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Personal de salud no profesional que solicita el apoyo de un profesional de la salud para la toma de decisiones clínicas. </w:t>
      </w:r>
    </w:p>
    <w:p w:rsidR="00000000" w:rsidDel="00000000" w:rsidP="00000000" w:rsidRDefault="00000000" w:rsidRPr="00000000" w14:paraId="00000020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Términos Clínicos Especializados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AIHA (Anemia Hemolítica Autoinmune):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Destrucción acelerada de eritrocitos mediada por autoanticuerpos contra antígenos de la superficie eritrocitaria, con participación variable del complemento y el sistema fagocítico.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wAIHA (AIHA de anticuerpos calientes):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Subtipo más frecuente (60–70%), mediado por IgG panrreactiva que actúa a 37 °C. Hemólisis predominantemente extravascular esplénica. DAT: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IgG+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(± C3d).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 (Enfermedad por Aglutininas Frías):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Subtipo (15–30%) mediado por IgM monoclonal que actúa a 0–30 °C, activando la vía clásica del complemento. Hemólisis extravascular hepática complemento-dependiente o intravascular grave. DAT: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C3d+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(IgG–).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AIHA Mixta: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Presencia simultánea de IgG y aglutininas frías con título $\geq 1:64$. DAT: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IgG+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C3d+.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AIHA DAT-negativa: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AIHA con DAT estándar negativa (3–10% de casos), causada por anticuerpos bajo el umbral de detección o IgA/IgM caliente. Requiere técnicas de mayor sensibilidad.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de Antiglobulina Directa (DAT):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Prueba que detecta anticuerpos o complemento unidos a los eritrocitos. La DAT monoespecífica es obligatoria para clasificar el subtipo; la poliespecífica sola es insuficiente.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Síndrome de Evans: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AIHA asociada a trombocitopenia y/o neutropenia inmune, caracterizada por mayor gravedad y refractariedad. 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Flujo Operativo y Clínico en Telesalud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1023"/>
        <w:gridCol w:w="2182"/>
        <w:gridCol w:w="1762"/>
        <w:gridCol w:w="3855"/>
        <w:tblGridChange w:id="0">
          <w:tblGrid>
            <w:gridCol w:w="1023"/>
            <w:gridCol w:w="2182"/>
            <w:gridCol w:w="1762"/>
            <w:gridCol w:w="3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Acción / 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Identificación de necesidad de tele-experticia.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asistencial del programa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Sospecha clínica de AIHA, hemólisis activa o necesidad de clasificación del subtipo.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Verificación de requisitos clínicos y consentimiento.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Centro Remisor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de inclusión y recolección de información mínima (DAT, hemograma, marcadores de hemólisis).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Diligenciamiento de solicitud y envío de datos clínicos.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Envío a través de canales corporativos: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3228234549 - 3228234532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telemedicina.digital@hun.edu.co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Recepción y validación de información.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Centro Referente / Profesional experto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Validación de pertinencia y cargue administrativo en 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Hosvital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Análisis de caso, clasificación del subtipo y concepto clínico.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experto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Emisión de concepto: tratamiento indicado, riesgo trombótico y plan en historia clínica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Hosvital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Envío de ordenamiento y recomendaciones.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Notificación de las conductas farmacológicas y de seguimiento a través de correo corporativo.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Implementación de recomendaciones y seguimiento.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Profesional solicitante / Programa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clínico final y monitorización de la respuesta terapéutica del paciente. 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Criterios de Inclusión / Exclusión y Remisión en Telesalud</w:t>
      </w:r>
    </w:p>
    <w:p w:rsidR="00000000" w:rsidDel="00000000" w:rsidP="00000000" w:rsidRDefault="00000000" w:rsidRPr="00000000" w14:paraId="0000004B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Criterios de Inclusión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AIHA confirmada o sospechada que requieran tele-experticia para clasificación del subtipo, inicio o ajuste del tratamiento, o seguimiento de la respuesta terapéutica.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en tratamiento con corticosteroides, rituximab,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sutimlimab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 otro agente, que requieran reevaluación de la respuesta o ajuste de dosis.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Sospecha de AIHA secundaria a enfermedad subyacente (linfoproliferativa, autoinmune, medicamentosa) o casos complejos (síndrome de Evans, AIHA DAT-negativa o refractaria). </w:t>
      </w:r>
    </w:p>
    <w:p w:rsidR="00000000" w:rsidDel="00000000" w:rsidP="00000000" w:rsidRDefault="00000000" w:rsidRPr="00000000" w14:paraId="0000004F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Criterios de Exclusión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hemólisis grave activa (Hb &lt; 6 g/dL con inestabilidad hemodinámica o síntomas cardiorrespiratorios) que requieran transfusión urgente y manejo hospitalario inmediato.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indicación de tratamiento de emergencia (transfusión urgente, corticosteroides IV en dosis altas, IVIG) que excedan el alcance de este protocolo ambulatorio o requieran soporte presencial crítico.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Imposibilidad técnica de realizar la tele-experticia por falla de conectividad o ausencia de paraclínicos mínimos (DAT, hemograma, marcadores de hemólisis). </w:t>
      </w:r>
    </w:p>
    <w:p w:rsidR="00000000" w:rsidDel="00000000" w:rsidP="00000000" w:rsidRDefault="00000000" w:rsidRPr="00000000" w14:paraId="00000053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Criterios Clínicos de Remisión Directa a Hematología u otra Especialidad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profesional solicitante gestionará la remisión presencial a hematología o centros especializados en los siguientes casos: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AIHA grave al diagnóstico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(Hb &lt; 7 g/dL con síntomas o Hb &lt; 6 g/dL) para manejo presencial urgente con transfusión, corticosteroides IV y rituximab.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AIHA refractaria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corticosteroides (sin respuesta en 2–3 semanas) o a rituximab (sin respuesta tras dos ciclos), para evaluación de tercera línea.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Sospecha de Síndrome de Evans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(AIHA + trombocitopenia y/o neutropenia inmune) por su alta gravedad.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 con indicación de terapias de segunda línea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sutimlimab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rituximab + bendamustina) para administración supervisada en centro especializado.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Sospecha de AIHA secundaria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trastornos linfoproliferativos (LLC, linfoma, macroglobulinemia de Waldenström) para estudio de médula ósea y citometría de flujo.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AIHA DAT-negativa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diagnóstico de alta incertidumbre, para acceso a técnicas de segunda línea (citometría de flujo, ELISA, MS-DAT).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Reticulocitopenia marcada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(&lt; 60.000/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con hemólisis activa o necesidad de biopsia de médula ósea (obligatoria en CAD al diagnóstico; recomendada en wAIHA refractaria). </w:t>
      </w:r>
    </w:p>
    <w:p w:rsidR="00000000" w:rsidDel="00000000" w:rsidP="00000000" w:rsidRDefault="00000000" w:rsidRPr="00000000" w14:paraId="0000005C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Roles y Responsabilidades en Telesalud</w:t>
      </w:r>
    </w:p>
    <w:p w:rsidR="00000000" w:rsidDel="00000000" w:rsidP="00000000" w:rsidRDefault="00000000" w:rsidRPr="00000000" w14:paraId="0000005D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Profesional Solicitante (Centro Remisor)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pacientes con AIHA confirmada o sospechada que requieran tele-experticia.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valoración clínica presencial (anamnesis dirigida, examen físico buscando palidez, ictericia, esplenomegalia y paraclínicos básicos de hemólisis).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la solicitud formal con información completa (resultado de DAT poliespecífica/monoespecífica, frotis y marcadores de hemólisis).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las recomendaciones del profesional experto y registrar en la historia clínica la solicitud, el concepto recibido y la conducta adoptada.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el consentimiento informado del paciente para el uso de medios tecnológicos.</w:t>
      </w:r>
    </w:p>
    <w:p w:rsidR="00000000" w:rsidDel="00000000" w:rsidP="00000000" w:rsidRDefault="00000000" w:rsidRPr="00000000" w14:paraId="00000063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Profesional Experto (Centro Referente)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concepto técnico-clínico orientado a la clasificación del subtipo de AIHA, selección del tratamiento de primera línea y la estratificación del riesgo trombótico.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Asesorar sobre la indicación de rituximab, sutimlimab, esplenectomía u otras terapias según el subtipo (wAIHA vs. CAD) y el perfil clínico.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el concepto de forma completa y trazable, con firma, fecha y hora en el sistema institucional.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 criterios de remisión urgente o programada a hematología con su respectiva justificación. </w:t>
      </w:r>
    </w:p>
    <w:p w:rsidR="00000000" w:rsidDel="00000000" w:rsidP="00000000" w:rsidRDefault="00000000" w:rsidRPr="00000000" w14:paraId="00000068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Personal de Enfermería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la adherencia al tratamiento, signos de hemólisis activa (ictericia, orinas oscuras, fatiga progresiva) y signos de sangrado si el paciente recibe anticoagulación profiláctica.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Preparar la información clínica requerida para la tele-experticia y facilitar la comunicación interactiva. </w:t>
      </w:r>
    </w:p>
    <w:p w:rsidR="00000000" w:rsidDel="00000000" w:rsidP="00000000" w:rsidRDefault="00000000" w:rsidRPr="00000000" w14:paraId="0000006B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Coordinación de Programa / Soporte Tecnológico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Organizar priorización de casos, agendas, rutas de solicitud, tiempos de respuesta y mecanismos de seguimiento.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disponibilidad, seguridad y confidencialidad de las plataformas tecnológicas conforme a la Ley 1581 de 2012.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Monitorizar indicadores de calidad y promover acciones de mejora continua. </w:t>
      </w:r>
    </w:p>
    <w:p w:rsidR="00000000" w:rsidDel="00000000" w:rsidP="00000000" w:rsidRDefault="00000000" w:rsidRPr="00000000" w14:paraId="0000006F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Tiempos de Respuesta Sugeridos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Emergencia Vital: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Atención inmediata presencial (Paciente excluido de tele-experticia ambulatoria convencional).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Urgencia Prioritaria: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Emisión de concepto técnico hasta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minutos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Urgencia No Vital: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Emisión de concepto en menos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Programada: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Respuesta formal en un periodo menor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días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Estrategias de Humanización Digital y Diálogo Intercultural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Clara y Empática: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Traducir los conceptos de la fisiopatología inmune y los riesgos de la hemólisis a términos comprensibles para el paciente, disminuyendo la ansiedad generada por la intermediación tecnológica.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Diálogo Intercultural: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Evaluar el uso de terapias alternativas o medicina tradicional en comunidades con arraigo cultural fuerte. Respetar sus creencias sin comprometer la seguridad del paciente, explicando con sensibilidad la importancia vital de los corticosteroides y el ácido fólico durante la fase activa de la hemólisis.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Acompañamiento Continuo: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Garantizar al paciente hospitalizado que la evaluación a distancia por el hematólogo experto es un proceso riguroso y articulado que busca optimizar su plan de cuidado local.</w:t>
      </w:r>
    </w:p>
    <w:p w:rsidR="00000000" w:rsidDel="00000000" w:rsidP="00000000" w:rsidRDefault="00000000" w:rsidRPr="00000000" w14:paraId="00000078">
      <w:pPr>
        <w:pStyle w:val="Heading1"/>
        <w:spacing w:after="80" w:befor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Indicadores de calidad y seguimiento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462621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Porcentaje de pacientes con AIHA con DAT monoespecífica documentada antes de iniciar tratamiento. Meta: ≥ 95%.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Porcentaje de pacientes con CAD en quienes se evitó corticosteroides a largo plazo o esplenectomía. Meta: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4001248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Porcentaje de pacientes hospitalizados con hemólisis activa con profilaxis antitrombótica documentada. Meta: ≥ 95%.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Porcentaje de pacientes con rituximab con screening de HBsAg previo al inicio. Meta: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7796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Porcentaje de solicitudes de tele-experticia con respuesta dentro de los tiempos establecidos. Meta: ≥ 90%.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0135797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Porcentaje de pacientes con wAIHA refractaria evaluados para biopsia de médula ósea. Meta: ≥ 85%.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Bibliografía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Brodsky RA. Warm Autoimmune Hemolytic Anemia. N Engl J Med. 2019;381(7):647-654.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Berentsen S, Barcellini W. Autoimmune Hemolytic Anemias. N Engl J Med. 2021;385(15):1407-1419.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RS, Winters JL, Kay NE. How I treat autoimmune hemolytic anemia. Blood. 2017;129(22):2971-2979.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Barcellini W, Fattizzo B. Autoimmune hemolytic anemia: New frontiers in diagnosis and therapy. Blood Rev. 2026; Article in Press.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Jäger U, Barcellini W, Broome CM, et al. Diagnosis and treatment of autoimmune hemolytic anemia in adults: First International Consensus Meeting. Blood Rev. 2020;41:100648.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Birgens H, Frederiksen H, Hasselbalch HC, et al. Phase III RCT: glucocorticoid monotherapy vs. glucocorticoid + rituximab in AIHA. Br J Haematol. 2013;163(3):393-399.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Röth A, Barcellini W, D'Sa S, et al. Sutimlimab in Cold Agglutinin Disease (CARDINAL). N Engl J Med. 2021;384(14):1323-1334.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Berentsen S, Randen U, Oksman M, et al. Bendamustine + rituximab in CAD. Blood. 2017;130(4):537-541.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R, Pan H, Zhang L, et al. CD19 CAR T-cell therapy for AIHA. N Engl J Med. 2026;394(3):253-267.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Resolución 2654 de 2019. Bogotá, Colombia.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Resolución 3100 de 2019. Bogotá, Colombia.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Realizado por: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Equipo de Especialistas Clínicos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Revisado y Aprobado por: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Sugeich Meléndez 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45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318"/>
      <w:gridCol w:w="2155"/>
      <w:gridCol w:w="3097"/>
      <w:gridCol w:w="1886"/>
      <w:tblGridChange w:id="0">
        <w:tblGrid>
          <w:gridCol w:w="2318"/>
          <w:gridCol w:w="2155"/>
          <w:gridCol w:w="3097"/>
          <w:gridCol w:w="1886"/>
        </w:tblGrid>
      </w:tblGridChange>
    </w:tblGrid>
    <w:tr>
      <w:trPr>
        <w:cantSplit w:val="0"/>
        <w:trHeight w:val="191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Protocolo Tele-Experticia  anemia hemolìtica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jvDqdoi1zCxXRDoSDqrxS9L9g==">CgMxLjAaJAoBMBIfCh0IB0IZCgVBcmlhbBIQQXJpYWwgVW5pY29kZSBNUxokCgExEh8KHQgHQhkKBUFyaWFsEhBBcmlhbCBVbmljb2RlIE1TGiQKATISHwodCAdCGQoFQXJpYWwSEEFyaWFsIFVuaWNvZGUgTVMaJAoBMxIfCh0IB0IZCgVBcmlhbBIQQXJpYWwgVW5pY29kZSBNUzIOaC54MXA2YzlyOXA3YWE4AHIhMW9GY3RLcEdoM1Bfa2N3MlU1RnZibzRTNWRfLWE2eF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