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Introducción </w:t>
      </w:r>
    </w:p>
    <w:p w:rsidR="00000000" w:rsidDel="00000000" w:rsidP="00000000" w:rsidRDefault="00000000" w:rsidRPr="00000000" w14:paraId="0000000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anemia es una de las condiciones hematológicas más prevalentes en el mundo. El Estudio de Carga Global de Enfermedad 2021 estimó 1.920 millones de casos globales, representando el 24,3% de la población mundial. La deficiencia de hierro continúa siendo la causa más frecuente, seguida por las hemoglobinopatías, otras deficiencias nutricionales y las enfermedades crónicas. Las regiones con mayor carga son el África Subsahariana Occidental (47,4%), Asia Meridional (35,7%) y el África Subsahariana Central (35,7%). En Colombia presenta una carga significativa de enfermedad con variaciones importantes según grupo de edad y condición fisiológica. Según la Encuesta Nacional de Situación Nutricional (ENSIN 2015), la anemia afecta al 24,7% de los niños menores de 5 años; y en gestantes entre 13 y 49 años, la deficiencia de hierro alcanza el 44,5%, convirtiéndola en la causa más prevalente de anemia durante el embarazo. </w:t>
      </w:r>
    </w:p>
    <w:p w:rsidR="00000000" w:rsidDel="00000000" w:rsidP="00000000" w:rsidRDefault="00000000" w:rsidRPr="00000000" w14:paraId="00000004">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Objetivo General</w:t>
      </w:r>
    </w:p>
    <w:p w:rsidR="00000000" w:rsidDel="00000000" w:rsidP="00000000" w:rsidRDefault="00000000" w:rsidRPr="00000000" w14:paraId="00000005">
      <w:pPr>
        <w:rPr>
          <w:rFonts w:ascii="Arial" w:cs="Arial" w:eastAsia="Arial" w:hAnsi="Arial"/>
          <w:b w:val="1"/>
          <w:bCs w:val="1"/>
          <w:color w:val="000000"/>
          <w:sz w:val="24"/>
          <w:szCs w:val="24"/>
        </w:rPr>
      </w:pPr>
      <w:r w:rsidDel="00000000" w:rsidR="00000000" w:rsidRPr="00000000">
        <w:rPr>
          <w:rFonts w:ascii="Arial" w:cs="Arial" w:eastAsia="Arial" w:hAnsi="Arial"/>
          <w:color w:val="000000"/>
          <w:sz w:val="24"/>
          <w:szCs w:val="24"/>
          <w:rtl w:val="0"/>
        </w:rPr>
        <w:t xml:space="preserve">Establecer los lineamientos operativos, asistenciales y clínicos para la prestación del servicio de tele-experticia en el ámbito ambulatorio, dentro de un programa institucional de atención de pacientes con anemia en el primer y segundo nivel de atención, especialmente en zonas alejadas o de difícil acceso de Colombia. Este protocolo busca apoyar la toma de decisiones clínicas fundamentadas en evidencia, fortalecer la continuidad del cuidado, optimizar el seguimiento hematológico, y definir de manera oportuna la necesidad de remisión a otros niveles de atención, con el fin de reducir las complicaciones derivadas del diagnóstico tardío o del manejo inadecuado de la anemia en la población adulta en grupos vulnerables.</w:t>
      </w: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006">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Objetivos Específicos</w:t>
      </w:r>
    </w:p>
    <w:p w:rsidR="00000000" w:rsidDel="00000000" w:rsidP="00000000" w:rsidRDefault="00000000" w:rsidRPr="00000000" w14:paraId="00000007">
      <w:pPr>
        <w:numPr>
          <w:ilvl w:val="0"/>
          <w:numId w:val="3"/>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Estandarizar el proceso de solicitud, respuesta, registro y seguimiento de la tele-experticia dentro del programa de atención ambulatoria de pacientes con anemia.</w:t>
      </w:r>
    </w:p>
    <w:p w:rsidR="00000000" w:rsidDel="00000000" w:rsidP="00000000" w:rsidRDefault="00000000" w:rsidRPr="00000000" w14:paraId="00000008">
      <w:pPr>
        <w:numPr>
          <w:ilvl w:val="0"/>
          <w:numId w:val="3"/>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Definir las acciones que deben realizar el médico general y el personal de salud presencial del primer nivel antes, durante y después de la tele-experticia para la atención de pacientes con anemia.</w:t>
      </w:r>
    </w:p>
    <w:p w:rsidR="00000000" w:rsidDel="00000000" w:rsidP="00000000" w:rsidRDefault="00000000" w:rsidRPr="00000000" w14:paraId="00000009">
      <w:pPr>
        <w:numPr>
          <w:ilvl w:val="0"/>
          <w:numId w:val="3"/>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Orientar la valoración clínica, el seguimiento y el ajuste del plan de manejo de pacientes con anemia, con énfasis en anemia por deficiencia de hierro, anemia por inflamación o enfermedad crónica, anemia megaloblástica por déficit de vitamina B12 o ácido fólico, y otras etiologías prevalentes en Colombia.</w:t>
      </w:r>
    </w:p>
    <w:p w:rsidR="00000000" w:rsidDel="00000000" w:rsidP="00000000" w:rsidRDefault="00000000" w:rsidRPr="00000000" w14:paraId="0000000A">
      <w:pPr>
        <w:numPr>
          <w:ilvl w:val="0"/>
          <w:numId w:val="3"/>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Establecer los criterios clínicos y operativos para identificar pacientes que pueden continuar manejo ambulatorio en el primer nivel y aquellos que requieren remisión a un nivel superior de complejidad o valoración presencial por hematología u otras especialidades.</w:t>
      </w:r>
    </w:p>
    <w:p w:rsidR="00000000" w:rsidDel="00000000" w:rsidP="00000000" w:rsidRDefault="00000000" w:rsidRPr="00000000" w14:paraId="0000000B">
      <w:pPr>
        <w:numPr>
          <w:ilvl w:val="0"/>
          <w:numId w:val="3"/>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Definir las responsabilidades del centro remisor, del profesional tratante presencial, del profesional experto y de los demás actores involucrados en el proceso de tele-experticia para el adecuado manejo de la anemia.</w:t>
      </w:r>
    </w:p>
    <w:p w:rsidR="00000000" w:rsidDel="00000000" w:rsidP="00000000" w:rsidRDefault="00000000" w:rsidRPr="00000000" w14:paraId="0000000C">
      <w:pPr>
        <w:numPr>
          <w:ilvl w:val="0"/>
          <w:numId w:val="3"/>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Garantizar que la atención ambulatoria brindada mediante tele-experticia se desarrolle con criterios de calidad, seguridad del paciente, pertinencia clínica, confidencialidad, trazabilidad y cumplimiento de la normatividad colombiana vigente.</w:t>
      </w:r>
    </w:p>
    <w:p w:rsidR="00000000" w:rsidDel="00000000" w:rsidP="00000000" w:rsidRDefault="00000000" w:rsidRPr="00000000" w14:paraId="0000000D">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Alcance</w:t>
      </w:r>
    </w:p>
    <w:p w:rsidR="00000000" w:rsidDel="00000000" w:rsidP="00000000" w:rsidRDefault="00000000" w:rsidRPr="00000000" w14:paraId="0000000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Este protocolo aplica a todos los profesionales de la salud en el primer y segundo nivel de atención, incluyendo médicos generales, personal de enfermería, coordinadores del programa y equipos de soporte tecnológico y de calidad. Su ámbito de aplicación comprende:</w:t>
      </w:r>
    </w:p>
    <w:p w:rsidR="00000000" w:rsidDel="00000000" w:rsidP="00000000" w:rsidRDefault="00000000" w:rsidRPr="00000000" w14:paraId="0000000F">
      <w:pPr>
        <w:numPr>
          <w:ilvl w:val="0"/>
          <w:numId w:val="4"/>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estandarización del proceso de solicitud, respuesta, registro y seguimiento de la tele-experticia dentro del programa de atención de pacientes con anemia.</w:t>
      </w:r>
    </w:p>
    <w:p w:rsidR="00000000" w:rsidDel="00000000" w:rsidP="00000000" w:rsidRDefault="00000000" w:rsidRPr="00000000" w14:paraId="00000010">
      <w:pPr>
        <w:numPr>
          <w:ilvl w:val="0"/>
          <w:numId w:val="4"/>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definición de las acciones del médico general y del personal de salud presencial antes, durante y después de la tele-experticia.</w:t>
      </w:r>
    </w:p>
    <w:p w:rsidR="00000000" w:rsidDel="00000000" w:rsidP="00000000" w:rsidRDefault="00000000" w:rsidRPr="00000000" w14:paraId="00000011">
      <w:pPr>
        <w:numPr>
          <w:ilvl w:val="0"/>
          <w:numId w:val="4"/>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orientación clínica para el seguimiento y ajuste del plan de manejo de pacientes con anemia por deficiencia de hierro, anemia por enfermedad crónica o inflamación, anemia megaloblástica u otras etiologías identificadas.</w:t>
      </w:r>
    </w:p>
    <w:p w:rsidR="00000000" w:rsidDel="00000000" w:rsidP="00000000" w:rsidRDefault="00000000" w:rsidRPr="00000000" w14:paraId="00000012">
      <w:pPr>
        <w:numPr>
          <w:ilvl w:val="0"/>
          <w:numId w:val="4"/>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establecimiento de criterios clínicos para definir manejo ambulatorio versus remisión a mayor complejidad, considerando los valores de hemoglobina, disponibilidad de recursos, etiología, la severidad y la respuesta al tratamiento.</w:t>
      </w:r>
    </w:p>
    <w:p w:rsidR="00000000" w:rsidDel="00000000" w:rsidP="00000000" w:rsidRDefault="00000000" w:rsidRPr="00000000" w14:paraId="00000013">
      <w:pPr>
        <w:numPr>
          <w:ilvl w:val="0"/>
          <w:numId w:val="4"/>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definición de responsabilidades de todos los actores involucrados en el proceso de tele-experticia para el manejo de la anemia.</w:t>
      </w:r>
    </w:p>
    <w:p w:rsidR="00000000" w:rsidDel="00000000" w:rsidP="00000000" w:rsidRDefault="00000000" w:rsidRPr="00000000" w14:paraId="00000014">
      <w:pPr>
        <w:numPr>
          <w:ilvl w:val="0"/>
          <w:numId w:val="4"/>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garantía de que la atención mediante tele-experticia cumpla con los estándares de calidad, seguridad del paciente, pertinencia clínica, confidencialidad y trazabilidad exigidos por la normatividad vigente.</w:t>
      </w:r>
    </w:p>
    <w:p w:rsidR="00000000" w:rsidDel="00000000" w:rsidP="00000000" w:rsidRDefault="00000000" w:rsidRPr="00000000" w14:paraId="00000015">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Marco Normativo</w:t>
      </w:r>
    </w:p>
    <w:p w:rsidR="00000000" w:rsidDel="00000000" w:rsidP="00000000" w:rsidRDefault="00000000" w:rsidRPr="00000000" w14:paraId="00000016">
      <w:pPr>
        <w:numPr>
          <w:ilvl w:val="0"/>
          <w:numId w:val="15"/>
        </w:numPr>
        <w:spacing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Resolución 3280 de 2018: Rutas Integrales de Atención en Salud (RIAS).</w:t>
      </w:r>
    </w:p>
    <w:p w:rsidR="00000000" w:rsidDel="00000000" w:rsidP="00000000" w:rsidRDefault="00000000" w:rsidRPr="00000000" w14:paraId="00000017">
      <w:pPr>
        <w:numPr>
          <w:ilvl w:val="0"/>
          <w:numId w:val="15"/>
        </w:numPr>
        <w:spacing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Ley 1751 de 2015: Ley Estatutaria de Salud (Garantía de atención de urgencias sin barreras).</w:t>
      </w:r>
    </w:p>
    <w:p w:rsidR="00000000" w:rsidDel="00000000" w:rsidP="00000000" w:rsidRDefault="00000000" w:rsidRPr="00000000" w14:paraId="00000018">
      <w:pPr>
        <w:numPr>
          <w:ilvl w:val="0"/>
          <w:numId w:val="15"/>
        </w:numPr>
        <w:spacing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Resolución 2654 de 2019: Regula la telesalud y telemedicina en Colombia.</w:t>
      </w:r>
    </w:p>
    <w:p w:rsidR="00000000" w:rsidDel="00000000" w:rsidP="00000000" w:rsidRDefault="00000000" w:rsidRPr="00000000" w14:paraId="0000001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3100 de 2019: Define los estándares de habilitación en salud.</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1419 de 2010: Establece la Política Nacional de Telesalud y dicta otras disposiciones.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1581 de 2012: Protección de Datos Personales</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Decreto 538 de 2020: Medidas de Telemedicina para emergencias sanitarias</w:t>
      </w:r>
    </w:p>
    <w:p w:rsidR="00000000" w:rsidDel="00000000" w:rsidP="00000000" w:rsidRDefault="00000000" w:rsidRPr="00000000" w14:paraId="000000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Guías Ministerio de Salud y Protección Social en Telesalud</w:t>
      </w:r>
    </w:p>
    <w:p w:rsidR="00000000" w:rsidDel="00000000" w:rsidP="00000000" w:rsidRDefault="00000000" w:rsidRPr="00000000" w14:paraId="000000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presente protocolo se sustenta en la siguiente normatividad colombiana e internacional vigente: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Definiciones</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Telesalud: Conjunto de actividades relacionadas con la salud, servicios y métodos llevados a cabo a distancia con la ayuda de las tecnologías de la información y telecomunicaciones. Incluye, entre otras, la Telemedicina y la Teleeducación en salud.</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Teleapoyo: Soporte solicitado por un profesional de la salud a otro a través de tecnologías de la información y comunicaciones, en el marco del relacionamiento entre instituciones prestadoras de servicios de salud.</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Tele-experticia: Relación a distancia mediante comunicación sincrónica o asincrónica para la provisión de servicios de salud, utilizando tecnologías de información y comunicación entre: a) dos profesionales de la salud, uno presencial y otro a distancia; b) profesionales en junta médica; o c) personal de salud no profesional que solicita apoyo de un profesional para la toma de decisiones clínicas.</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Atención ambulatoria: Modalidad de atención en salud en la que la valoración, el seguimiento, la formulación, el ajuste terapéutico y el monitoreo clínico se realizan sin requerir hospitalización. </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Atención hospitalaria: Modalidad de atención en salud en la que la valoración, el seguimiento, la formulación, el ajuste terapéutico y el monitoreo clínico se realizan en entorno de hospitalización. </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Anemia: Condición definida por la reducción de la concentración de hemoglobina en sangre venosa por debajo de los umbrales establecidos por la OMS (2024) según grupo poblacional: &lt; 13,0 g/dL en hombres adultos; &lt; 12,0 g/dL en mujeres no embarazadas; &lt; 11,0 g/dL en embarazadas en el primer y tercer trimestre; &lt; 10,5 g/dL en embarazadas en el segundo trimestre.</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Anemia ferropénica: Tipo de anemia más frecuente a nivel mundial y en Colombia, es causada por deficiencia de hierro. Se caracteriza por patrón microcítico e hipocrómico en el hemograma, ferritina sérica y saturación de transferrina disminuida. Requiere identificación de la causa de la deficiencia (pérdidas hemáticas, malabsorción, ingesta insuficiente) y tratamiento de reposición, así como búsqueda de factor etiológico.</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Anemia por inflamación o enfermedad crónica: Anemia normocítica o microcítica asociada a condiciones inflamatorias, infecciosas, neoplásicas de curso crónico. Su fisiopatología está mediada por la hepcidina, que en contextos inflamatorios reduce la disponibilidad del hierro para la eritropoyesis. Puede coexistir con déficit absoluto de hierro y requiere manejo de la enfermedad subyacente.</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Anemia megaloblástica: Anemia macrocítica causada por deficiencia de vitamina B12, ácido fólico o alteraciones de la tiroides, que altera la síntesis de ADN en los precursores eritroides generando eritropoyesis ineficaz y asincronía nucleocitoplasmática. El déficit de vitamina B12 puede producir, independientemente de la anemia, desmielinización medular con manifestaciones neuropsiquiátricas (parestesias, ataxia, deterioro cognitivo) de carácter irreversible si no se trata oportunamente.</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Anemia persistente y de difícil manejo: Situación clínica en la que el paciente no alcanza las metas terapéuticas establecidas, presenta deterioro progresivo de los valores de hemoglobina, respuesta inadecuada o ausente al tratamiento correctamente instaurado, aparición de complicaciones, intolerancia medicamentosa, sospecha de etiología no identificada o necesidad de ajuste terapéutico que amerita evaluación mediante tele-experticia o remisión a un nivel superior de complejidad.</w:t>
      </w:r>
    </w:p>
    <w:p w:rsidR="00000000" w:rsidDel="00000000" w:rsidP="00000000" w:rsidRDefault="00000000" w:rsidRPr="00000000" w14:paraId="0000002B">
      <w:pPr>
        <w:ind w:lef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C">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Clasificación </w:t>
      </w:r>
    </w:p>
    <w:p w:rsidR="00000000" w:rsidDel="00000000" w:rsidP="00000000" w:rsidRDefault="00000000" w:rsidRPr="00000000" w14:paraId="0000002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clasificación de la anemia presenta un enfoque morfológico basado en el volumen corpuscular medio (VCM) del hemograma y el etiopatogénico, basado en el mecanismo de producción. Ambos enfoques son complementarios e indispensables para estructurar el algoritmo diagnóstico y orientar la selección de estudios complementarios.</w:t>
      </w:r>
    </w:p>
    <w:p w:rsidR="00000000" w:rsidDel="00000000" w:rsidP="00000000" w:rsidRDefault="00000000" w:rsidRPr="00000000" w14:paraId="0000002F">
      <w:pPr>
        <w:rPr>
          <w:rFonts w:ascii="Arial" w:cs="Arial" w:eastAsia="Arial" w:hAnsi="Arial"/>
          <w:color w:val="000000"/>
          <w:sz w:val="24"/>
          <w:szCs w:val="24"/>
        </w:rPr>
      </w:pPr>
      <w:r w:rsidDel="00000000" w:rsidR="00000000" w:rsidRPr="00000000">
        <w:rPr>
          <w:rtl w:val="0"/>
        </w:rPr>
      </w:r>
    </w:p>
    <w:tbl>
      <w:tblPr>
        <w:tblStyle w:val="Table1"/>
        <w:tblW w:w="8828.0" w:type="dxa"/>
        <w:jc w:val="left"/>
        <w:tblLayout w:type="fixed"/>
        <w:tblLook w:val="0400"/>
      </w:tblPr>
      <w:tblGrid>
        <w:gridCol w:w="1541"/>
        <w:gridCol w:w="915"/>
        <w:gridCol w:w="6372"/>
        <w:tblGridChange w:id="0">
          <w:tblGrid>
            <w:gridCol w:w="1541"/>
            <w:gridCol w:w="915"/>
            <w:gridCol w:w="6372"/>
          </w:tblGrid>
        </w:tblGridChange>
      </w:tblGrid>
      <w:tr>
        <w:trPr>
          <w:cantSplit w:val="0"/>
          <w:trHeight w:val="466" w:hRule="atLeast"/>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30">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Tipo</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31">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VCM (fL)</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30.0" w:type="dxa"/>
              <w:bottom w:w="80.0" w:type="dxa"/>
              <w:right w:w="130.0" w:type="dxa"/>
            </w:tcMar>
            <w:vAlign w:val="center"/>
          </w:tcPr>
          <w:p w:rsidR="00000000" w:rsidDel="00000000" w:rsidP="00000000" w:rsidRDefault="00000000" w:rsidRPr="00000000" w14:paraId="00000032">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Causas más frecuentes</w:t>
            </w:r>
          </w:p>
        </w:tc>
      </w:tr>
      <w:tr>
        <w:trPr>
          <w:cantSplit w:val="0"/>
          <w:trHeight w:val="1051" w:hRule="atLeast"/>
          <w:tblHeader w:val="0"/>
        </w:trPr>
        <w:tc>
          <w:tcPr>
            <w:tcBorders>
              <w:top w:color="1f4e79"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center"/>
          </w:tcPr>
          <w:p w:rsidR="00000000" w:rsidDel="00000000" w:rsidP="00000000" w:rsidRDefault="00000000" w:rsidRPr="00000000" w14:paraId="0000003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Microcítica</w:t>
            </w:r>
          </w:p>
        </w:tc>
        <w:tc>
          <w:tcPr>
            <w:tcBorders>
              <w:top w:color="1f4e79"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center"/>
          </w:tcPr>
          <w:p w:rsidR="00000000" w:rsidDel="00000000" w:rsidP="00000000" w:rsidRDefault="00000000" w:rsidRPr="00000000" w14:paraId="0000003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&lt; 80 fL</w:t>
            </w:r>
          </w:p>
        </w:tc>
        <w:tc>
          <w:tcPr>
            <w:tcBorders>
              <w:top w:color="1f4e79"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center"/>
          </w:tcPr>
          <w:p w:rsidR="00000000" w:rsidDel="00000000" w:rsidP="00000000" w:rsidRDefault="00000000" w:rsidRPr="00000000" w14:paraId="0000003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Deficiencia de hierro · Talasemia alfa y beta · Anemia sideroblástica · Anemia de la inflamación (fase avanzada) · Intoxicación por plomo</w:t>
            </w:r>
          </w:p>
        </w:tc>
      </w:tr>
      <w:tr>
        <w:trPr>
          <w:cantSplit w:val="0"/>
          <w:trHeight w:val="105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3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Normocítica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3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80–100 fL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3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Anemia por inflamación · Anemia de enfermedad renal (ERC) · Hemorragia aguda · Hemólisis · Aplasia medular · Infiltración medular por neoplasia.</w:t>
            </w:r>
          </w:p>
        </w:tc>
      </w:tr>
      <w:tr>
        <w:trPr>
          <w:cantSplit w:val="0"/>
          <w:trHeight w:val="1334"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center"/>
          </w:tcPr>
          <w:p w:rsidR="00000000" w:rsidDel="00000000" w:rsidP="00000000" w:rsidRDefault="00000000" w:rsidRPr="00000000" w14:paraId="0000003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Macrocítica</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center"/>
          </w:tcPr>
          <w:p w:rsidR="00000000" w:rsidDel="00000000" w:rsidP="00000000" w:rsidRDefault="00000000" w:rsidRPr="00000000" w14:paraId="0000003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&gt; 100 fL</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vAlign w:val="center"/>
          </w:tcPr>
          <w:p w:rsidR="00000000" w:rsidDel="00000000" w:rsidP="00000000" w:rsidRDefault="00000000" w:rsidRPr="00000000" w14:paraId="0000003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Déficit de vitamina B12 (anemia perniciosa, vegetarianismo estricto, gastrectomía) · Déficit de folato · Hepatopatía · Hipotiroidismo · Alcoholismo · Fármacos (Ejem: metotrexato, hidroxiurea, zidovudina)</w:t>
            </w:r>
          </w:p>
        </w:tc>
      </w:tr>
    </w:tbl>
    <w:p w:rsidR="00000000" w:rsidDel="00000000" w:rsidP="00000000" w:rsidRDefault="00000000" w:rsidRPr="00000000" w14:paraId="0000003C">
      <w:pPr>
        <w:rPr>
          <w:rFonts w:ascii="Arial" w:cs="Arial" w:eastAsia="Arial" w:hAnsi="Arial"/>
          <w:color w:val="000000"/>
          <w:sz w:val="24"/>
          <w:szCs w:val="24"/>
        </w:rPr>
      </w:pPr>
      <w:r w:rsidDel="00000000" w:rsidR="00000000" w:rsidRPr="00000000">
        <w:rPr>
          <w:rFonts w:ascii="Arial" w:cs="Arial" w:eastAsia="Arial" w:hAnsi="Arial"/>
          <w:i w:val="1"/>
          <w:iCs w:val="1"/>
          <w:color w:val="000000"/>
          <w:sz w:val="24"/>
          <w:szCs w:val="24"/>
          <w:rtl w:val="0"/>
        </w:rPr>
        <w:t xml:space="preserve">Tabla 2. Clasificación morfológica de las anemias según el VCM. VCM = Volumen Corpuscular Medio; ERC = Enfermedad Renal Crónica. Adaptado de Sánchez Salinas et al. y Turner et al.</w:t>
      </w:r>
      <w:r w:rsidDel="00000000" w:rsidR="00000000" w:rsidRPr="00000000">
        <w:rPr>
          <w:rtl w:val="0"/>
        </w:rPr>
      </w:r>
    </w:p>
    <w:p w:rsidR="00000000" w:rsidDel="00000000" w:rsidP="00000000" w:rsidRDefault="00000000" w:rsidRPr="00000000" w14:paraId="0000003D">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Evaluación Clínica y diagnóstica</w:t>
      </w:r>
    </w:p>
    <w:p w:rsidR="00000000" w:rsidDel="00000000" w:rsidP="00000000" w:rsidRDefault="00000000" w:rsidRPr="00000000" w14:paraId="0000003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historia clínica es importante y debe contener: antecedentes familiares de anemia o ictericia (hemoglobinopatías congénitas); historia dietaría (vegetarianismo estricto, dieta pobre en carnes y vegetales); pérdidas hemáticas (menorragia, sangrado gastrointestinal, hematuria, sangrado uterino anormal); uso de fármacos que comprometen la absorción o el metabolismo (metotrexato, inhibidores de bomba de protones, metformina, hidroxiurea); antecedentes quirúrgicos (gastrectomía, cirugía bariátrica, resección ileal); síntomas neurológicos (parestesias distales, ataxia, deterioro cognitivo, cambios de personalidad); y comorbilidades relevantes (insuficiencia renal crónica, hepatopatía, hipotiroidismo, enfermedad inflamatoria crónica, neoplasia activa).</w:t>
      </w:r>
    </w:p>
    <w:p w:rsidR="00000000" w:rsidDel="00000000" w:rsidP="00000000" w:rsidRDefault="00000000" w:rsidRPr="00000000" w14:paraId="0000003F">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Examen Clínico: </w:t>
      </w:r>
      <w:r w:rsidDel="00000000" w:rsidR="00000000" w:rsidRPr="00000000">
        <w:rPr>
          <w:rtl w:val="0"/>
        </w:rPr>
      </w:r>
    </w:p>
    <w:p w:rsidR="00000000" w:rsidDel="00000000" w:rsidP="00000000" w:rsidRDefault="00000000" w:rsidRPr="00000000" w14:paraId="00000040">
      <w:pPr>
        <w:numPr>
          <w:ilvl w:val="0"/>
          <w:numId w:val="6"/>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Piel y mucosas: palidez conjuntival y palmar, ictericia (hemólisis), coiloniquia o uñas quebradizas (ferropenia grave), glositis atrófica (déficit de vitamina B12 o deficiencia de hierro). </w:t>
      </w:r>
    </w:p>
    <w:p w:rsidR="00000000" w:rsidDel="00000000" w:rsidP="00000000" w:rsidRDefault="00000000" w:rsidRPr="00000000" w14:paraId="00000041">
      <w:pPr>
        <w:numPr>
          <w:ilvl w:val="0"/>
          <w:numId w:val="7"/>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Sistema nervioso: parestesias, ataxia, signo de Romberg positivo, alteraciones cognitivas o de comportamiento (déficit de vitamina B12)</w:t>
      </w:r>
    </w:p>
    <w:p w:rsidR="00000000" w:rsidDel="00000000" w:rsidP="00000000" w:rsidRDefault="00000000" w:rsidRPr="00000000" w14:paraId="00000042">
      <w:pPr>
        <w:numPr>
          <w:ilvl w:val="0"/>
          <w:numId w:val="7"/>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Cardiovascular: taquicardia, soplo sistólico funcional, signos de insuficiencia cardíaca de alto gasto en anemia grave o de instauración rápida.</w:t>
      </w:r>
    </w:p>
    <w:p w:rsidR="00000000" w:rsidDel="00000000" w:rsidP="00000000" w:rsidRDefault="00000000" w:rsidRPr="00000000" w14:paraId="00000043">
      <w:pPr>
        <w:numPr>
          <w:ilvl w:val="0"/>
          <w:numId w:val="7"/>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Abdomen: esplenomegalia (hemólisis crónica, enfermedades linfoproliferativas), hepatomegalia (hepatopatía). </w:t>
      </w:r>
    </w:p>
    <w:p w:rsidR="00000000" w:rsidDel="00000000" w:rsidP="00000000" w:rsidRDefault="00000000" w:rsidRPr="00000000" w14:paraId="00000044">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Laboratorio: </w:t>
      </w:r>
      <w:r w:rsidDel="00000000" w:rsidR="00000000" w:rsidRPr="00000000">
        <w:rPr>
          <w:rtl w:val="0"/>
        </w:rPr>
      </w:r>
    </w:p>
    <w:p w:rsidR="00000000" w:rsidDel="00000000" w:rsidP="00000000" w:rsidRDefault="00000000" w:rsidRPr="00000000" w14:paraId="00000045">
      <w:pPr>
        <w:numPr>
          <w:ilvl w:val="0"/>
          <w:numId w:val="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Hemograma completo con índices eritrocitarios: hemoglobina (Hb), VCM, HCM, CHCM, ADE.</w:t>
      </w:r>
    </w:p>
    <w:p w:rsidR="00000000" w:rsidDel="00000000" w:rsidP="00000000" w:rsidRDefault="00000000" w:rsidRPr="00000000" w14:paraId="00000046">
      <w:pPr>
        <w:numPr>
          <w:ilvl w:val="0"/>
          <w:numId w:val="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Recuento de reticulocitos absoluto y relativo, índice de producción reticulocitaria (IPR). </w:t>
      </w:r>
    </w:p>
    <w:p w:rsidR="00000000" w:rsidDel="00000000" w:rsidP="00000000" w:rsidRDefault="00000000" w:rsidRPr="00000000" w14:paraId="00000047">
      <w:pPr>
        <w:numPr>
          <w:ilvl w:val="0"/>
          <w:numId w:val="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Frotis de sangre periférica: morfología eritrocitaria, hipersegmentación neutrofílica, presencia de inclusiones.</w:t>
      </w:r>
    </w:p>
    <w:p w:rsidR="00000000" w:rsidDel="00000000" w:rsidP="00000000" w:rsidRDefault="00000000" w:rsidRPr="00000000" w14:paraId="00000048">
      <w:pPr>
        <w:numPr>
          <w:ilvl w:val="0"/>
          <w:numId w:val="8"/>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Bioquímica básica: función renal, función hepática, LDH, bilirrubina indirecta, haptoglobina (según corresponda y decisión medica)</w:t>
      </w:r>
    </w:p>
    <w:p w:rsidR="00000000" w:rsidDel="00000000" w:rsidP="00000000" w:rsidRDefault="00000000" w:rsidRPr="00000000" w14:paraId="00000049">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Tratamiento: </w:t>
      </w:r>
      <w:r w:rsidDel="00000000" w:rsidR="00000000" w:rsidRPr="00000000">
        <w:rPr>
          <w:rtl w:val="0"/>
        </w:rPr>
      </w:r>
    </w:p>
    <w:p w:rsidR="00000000" w:rsidDel="00000000" w:rsidP="00000000" w:rsidRDefault="00000000" w:rsidRPr="00000000" w14:paraId="0000004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Depende de la etiología. </w:t>
      </w:r>
    </w:p>
    <w:p w:rsidR="00000000" w:rsidDel="00000000" w:rsidP="00000000" w:rsidRDefault="00000000" w:rsidRPr="00000000" w14:paraId="0000004B">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Flujo Operativo y clínico </w:t>
      </w:r>
    </w:p>
    <w:p w:rsidR="00000000" w:rsidDel="00000000" w:rsidP="00000000" w:rsidRDefault="00000000" w:rsidRPr="00000000" w14:paraId="0000004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proceso de tele-experticia en el programa de atención de anemia ambulatorio se desarrollará siguiendo las etapas descritas a continuación. Cada etapa tiene un responsable definido y criterios operativos explícitos para garantizar la trazabilidad y la calidad de la atención.</w:t>
      </w:r>
    </w:p>
    <w:p w:rsidR="00000000" w:rsidDel="00000000" w:rsidP="00000000" w:rsidRDefault="00000000" w:rsidRPr="00000000" w14:paraId="0000004D">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1</w:t>
      </w:r>
      <w:sdt>
        <w:sdtPr>
          <w:id w:val="211770925"/>
          <w:tag w:val="goog_rdk_0"/>
        </w:sdtPr>
        <w:sdtContent>
          <w:r w:rsidDel="00000000" w:rsidR="00000000" w:rsidRPr="00000000">
            <w:rPr>
              <w:rFonts w:ascii="Arial Unicode MS" w:cs="Arial Unicode MS" w:eastAsia="Arial Unicode MS" w:hAnsi="Arial Unicode MS"/>
              <w:color w:val="000000"/>
              <w:sz w:val="24"/>
              <w:szCs w:val="24"/>
              <w:rtl w:val="0"/>
            </w:rPr>
            <w:t xml:space="preserve">. Identificación de la necesidad de tele-experticia: El profesional asistencial del programa identifica que el paciente con anemia requiere apoyo experto por respuesta inadecuada al tratamiento (sin incremento de hemoglobina ≥ 1 g/dL en 4 semanas con tratamiento correcto), etiología no aclarada, sospecha de anemia refractaria, necesidad de segunda opinión, interpretación de estudios complementarios o definición de remisión.</w:t>
          </w:r>
        </w:sdtContent>
      </w:sdt>
    </w:p>
    <w:p w:rsidR="00000000" w:rsidDel="00000000" w:rsidP="00000000" w:rsidRDefault="00000000" w:rsidRPr="00000000" w14:paraId="0000004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Recepción de la solicitud de tele-experticia: El centro referente o el profesional experto recibe la solicitud generada por el equipo tratante del programa, junto con la información clínica disponible del paciente: hemograma con índices eritrocitarios, reticulocitos, perfil de hierro (ferritina, saturación de transferrina, hierro sérico, CTFH), vitamina B12, ácido fólico y otros paraclínicos pertinentes según el tipo de anemia sospechado.</w:t>
      </w:r>
    </w:p>
    <w:p w:rsidR="00000000" w:rsidDel="00000000" w:rsidP="00000000" w:rsidRDefault="00000000" w:rsidRPr="00000000" w14:paraId="0000004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Valoración del paciente: El profesional experto realiza la valoración a partir de la información clínica remitida y, cuando la modalidad lo permita, mediante interacción sincrónica con el profesional tratante y el paciente. Esta valoración está orientada a confirmar o establecer la etiología de la anemia según la clasificación morfológica y el perfil metabólico, apoyar la toma de decisiones diagnósticas y terapéuticas, orientar ajustes de tratamiento y establecer la necesidad de seguimiento o remisión a hematología u otra especialidad.</w:t>
      </w:r>
    </w:p>
    <w:p w:rsidR="00000000" w:rsidDel="00000000" w:rsidP="00000000" w:rsidRDefault="00000000" w:rsidRPr="00000000" w14:paraId="0000005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Emisión de concepto clínico y recomendaciones: El profesional experto emite un concepto claro, trazable y aplicable al contexto ambulatorio. El concepto puede incluir: confirmación o ajuste del diagnóstico etiológico, recomendaciones de tratamiento (fármaco, dosis, vía de administración y duración), metas de seguimiento con valores de hemoglobina esperados según etiología, indicación de paraclínicos complementarios, educación en autocuidado y adherencia, programación de nueva tele-experticia o remisión a hematología u otra especialidad con justificación explícita.</w:t>
      </w:r>
    </w:p>
    <w:p w:rsidR="00000000" w:rsidDel="00000000" w:rsidP="00000000" w:rsidRDefault="00000000" w:rsidRPr="00000000" w14:paraId="0000005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Registro clínico de la tele-experticia: Tanto el profesional solicitante como el profesional experto realizan el registro correspondiente en los medios institucionales definidos, dejando trazabilidad completa de la solicitud, la información compartida, el concepto emitido, la conducta final adoptada y el plan de seguimiento acordado.</w:t>
      </w:r>
    </w:p>
    <w:p w:rsidR="00000000" w:rsidDel="00000000" w:rsidP="00000000" w:rsidRDefault="00000000" w:rsidRPr="00000000" w14:paraId="0000005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Implementación de recomendaciones y seguimiento del paciente: El profesional solicitante o el equipo del programa implementa las recomendaciones dentro del marco de sus competencias, ajusta el plan de manejo, educa al paciente sobre la importancia de la adherencia al tratamiento y la alimentación adecuada, organiza controles con paraclínicos de seguimiento (hemograma a las 4 semanas de iniciado el tratamiento como mínimo), solicita estudios complementarios cuando corresponda y gestiona la remisión si está indicada. Define el seguimiento posterior y verifica la respuesta hematológica documentada en hemoglobina.</w:t>
      </w:r>
    </w:p>
    <w:p w:rsidR="00000000" w:rsidDel="00000000" w:rsidP="00000000" w:rsidRDefault="00000000" w:rsidRPr="00000000" w14:paraId="00000053">
      <w:pPr>
        <w:rPr>
          <w:rFonts w:ascii="Arial" w:cs="Arial" w:eastAsia="Arial" w:hAnsi="Arial"/>
          <w:color w:val="000000"/>
          <w:sz w:val="24"/>
          <w:szCs w:val="24"/>
        </w:rPr>
      </w:pPr>
      <w:r w:rsidDel="00000000" w:rsidR="00000000" w:rsidRPr="00000000">
        <w:rPr>
          <w:rtl w:val="0"/>
        </w:rPr>
      </w:r>
    </w:p>
    <w:tbl>
      <w:tblPr>
        <w:tblStyle w:val="Table2"/>
        <w:tblW w:w="8828.0" w:type="dxa"/>
        <w:jc w:val="center"/>
        <w:tblLayout w:type="fixed"/>
        <w:tblLook w:val="0400"/>
      </w:tblPr>
      <w:tblGrid>
        <w:gridCol w:w="854"/>
        <w:gridCol w:w="4598"/>
        <w:gridCol w:w="3376"/>
        <w:tblGridChange w:id="0">
          <w:tblGrid>
            <w:gridCol w:w="854"/>
            <w:gridCol w:w="4598"/>
            <w:gridCol w:w="33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054">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055">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056">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Responsable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Identificación de la necesidad de tele experticia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asistencial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Recepción de la solicitud de teleexperticia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Centro referente / profesional experto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Valoración del paciente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experto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Emisión de concepto clínico y recomendaciones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experto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Registro clínico de la teleexperticia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Ambos profesionales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Implementación de recomendaciones y seguimiento del paciente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solicitante / programa de crónicos</w:t>
            </w:r>
          </w:p>
        </w:tc>
      </w:tr>
    </w:tbl>
    <w:p w:rsidR="00000000" w:rsidDel="00000000" w:rsidP="00000000" w:rsidRDefault="00000000" w:rsidRPr="00000000" w14:paraId="00000069">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A">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Criterios de Inclusión / Exclusión</w:t>
      </w:r>
    </w:p>
    <w:p w:rsidR="00000000" w:rsidDel="00000000" w:rsidP="00000000" w:rsidRDefault="00000000" w:rsidRPr="00000000" w14:paraId="0000006B">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Inclusión</w:t>
      </w:r>
    </w:p>
    <w:p w:rsidR="00000000" w:rsidDel="00000000" w:rsidP="00000000" w:rsidRDefault="00000000" w:rsidRPr="00000000" w14:paraId="0000006C">
      <w:pPr>
        <w:numPr>
          <w:ilvl w:val="0"/>
          <w:numId w:val="1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con anemia ferropénica, anemia por inflamación o enfermedad crónica, anemia megaloblástica u otras etiologías priorizadas, que presenten mal control, respuesta inadecuada al tratamiento, etiología no aclarada, dificultades terapéuticas, necesidad de segunda opinión o de definir remisión a hematología u otra especialidad.</w:t>
      </w:r>
    </w:p>
    <w:p w:rsidR="00000000" w:rsidDel="00000000" w:rsidP="00000000" w:rsidRDefault="00000000" w:rsidRPr="00000000" w14:paraId="0000006D">
      <w:pPr>
        <w:numPr>
          <w:ilvl w:val="0"/>
          <w:numId w:val="1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atendidos en el ámbito ambulatorio por el equipo tratante presencial, en quienes la tele-experticia se utilice como apoyo complementario para la valoración y orientación de la conducta clínica.</w:t>
      </w:r>
    </w:p>
    <w:p w:rsidR="00000000" w:rsidDel="00000000" w:rsidP="00000000" w:rsidRDefault="00000000" w:rsidRPr="00000000" w14:paraId="0000006E">
      <w:pPr>
        <w:numPr>
          <w:ilvl w:val="0"/>
          <w:numId w:val="10"/>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Casos en los que el profesional tratante o el personal de salud del centro remisor considere pertinente solicitar apoyo experto dentro del seguimiento longitudinal del paciente con anemia, incluyendo gestantes con anemia gestacional grave, adultos mayores con anemia multifactorial y pacientes con sospecha de hemoglobinopatías.</w:t>
      </w:r>
    </w:p>
    <w:p w:rsidR="00000000" w:rsidDel="00000000" w:rsidP="00000000" w:rsidRDefault="00000000" w:rsidRPr="00000000" w14:paraId="0000006F">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0">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Exclusión</w:t>
      </w:r>
    </w:p>
    <w:p w:rsidR="00000000" w:rsidDel="00000000" w:rsidP="00000000" w:rsidRDefault="00000000" w:rsidRPr="00000000" w14:paraId="00000071">
      <w:pPr>
        <w:numPr>
          <w:ilvl w:val="0"/>
          <w:numId w:val="1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que presenten signos de alarma, inestabilidad hemodinámica, anemia grave sintomática con repercusión clínica (hemoglobina &lt; 7 g/dL asociada a disnea en reposo, hipotensión o datos de hipoperfusión tisular) u otras condiciones que requieran valoración presencial inmediata, transfusión urgente o manejo hospitalario, y que por tanto excedan el alcance ambulatorio de este protocolo. (6)</w:t>
      </w:r>
    </w:p>
    <w:p w:rsidR="00000000" w:rsidDel="00000000" w:rsidP="00000000" w:rsidRDefault="00000000" w:rsidRPr="00000000" w14:paraId="00000072">
      <w:pPr>
        <w:numPr>
          <w:ilvl w:val="0"/>
          <w:numId w:val="1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Pacientes que no pertenezcan al programa de crónicos o cuya necesidad de atención no corresponda al objeto de la tele-experticia ambulatoria programada.</w:t>
      </w:r>
    </w:p>
    <w:p w:rsidR="00000000" w:rsidDel="00000000" w:rsidP="00000000" w:rsidRDefault="00000000" w:rsidRPr="00000000" w14:paraId="00000073">
      <w:pPr>
        <w:numPr>
          <w:ilvl w:val="0"/>
          <w:numId w:val="1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Situaciones en las que la tele-experticia no sea pertinente por requerirse directamente valoración presencial por hematología, gastroenterología u otro servicio especializado.</w:t>
      </w:r>
    </w:p>
    <w:p w:rsidR="00000000" w:rsidDel="00000000" w:rsidP="00000000" w:rsidRDefault="00000000" w:rsidRPr="00000000" w14:paraId="00000074">
      <w:pPr>
        <w:numPr>
          <w:ilvl w:val="0"/>
          <w:numId w:val="1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Casos en los que no sea técnicamente posible realizar la atención mediante los canales institucionales definidos para tele-experticia (falla de conectividad, falta de paraclínicos mínimos necesarios para la valoración).</w:t>
      </w:r>
    </w:p>
    <w:p w:rsidR="00000000" w:rsidDel="00000000" w:rsidP="00000000" w:rsidRDefault="00000000" w:rsidRPr="00000000" w14:paraId="00000075">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Criterios de remisión a hematología u otra especialidad</w:t>
      </w:r>
    </w:p>
    <w:p w:rsidR="00000000" w:rsidDel="00000000" w:rsidP="00000000" w:rsidRDefault="00000000" w:rsidRPr="00000000" w14:paraId="0000007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profesional solicitante, con el apoyo del concepto del profesional experto mediante tele-experticia, deberá gestionar la remisión presencial a hematología u otras especialidades en los siguientes casos:(4,5,9,12)</w:t>
      </w:r>
    </w:p>
    <w:p w:rsidR="00000000" w:rsidDel="00000000" w:rsidP="00000000" w:rsidRDefault="00000000" w:rsidRPr="00000000" w14:paraId="00000077">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Anemia grave (Hb &lt; 7 g/dL) sin causa clara, que no responda al manejo empírico inicial.</w:t>
      </w:r>
    </w:p>
    <w:p w:rsidR="00000000" w:rsidDel="00000000" w:rsidP="00000000" w:rsidRDefault="00000000" w:rsidRPr="00000000" w14:paraId="00000078">
      <w:pPr>
        <w:numPr>
          <w:ilvl w:val="0"/>
          <w:numId w:val="12"/>
        </w:numPr>
        <w:ind w:left="720" w:hanging="360"/>
        <w:rPr>
          <w:rFonts w:ascii="Arial" w:cs="Arial" w:eastAsia="Arial" w:hAnsi="Arial"/>
          <w:color w:val="000000"/>
          <w:sz w:val="24"/>
          <w:szCs w:val="24"/>
        </w:rPr>
      </w:pPr>
      <w:sdt>
        <w:sdtPr>
          <w:id w:val="1267242807"/>
          <w:tag w:val="goog_rdk_1"/>
        </w:sdtPr>
        <w:sdtContent>
          <w:r w:rsidDel="00000000" w:rsidR="00000000" w:rsidRPr="00000000">
            <w:rPr>
              <w:rFonts w:ascii="Arial Unicode MS" w:cs="Arial Unicode MS" w:eastAsia="Arial Unicode MS" w:hAnsi="Arial Unicode MS"/>
              <w:color w:val="000000"/>
              <w:sz w:val="24"/>
              <w:szCs w:val="24"/>
              <w:rtl w:val="0"/>
            </w:rPr>
            <w:t xml:space="preserve">Anemia refractaria al tratamiento correctamente administrado, definida como la ausencia de incremento de hemoglobina ≥ 1 g/dL luego de 4 a 6 semanas de tratamiento etiológico adecuado.</w:t>
          </w:r>
        </w:sdtContent>
      </w:sdt>
    </w:p>
    <w:p w:rsidR="00000000" w:rsidDel="00000000" w:rsidP="00000000" w:rsidRDefault="00000000" w:rsidRPr="00000000" w14:paraId="00000079">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Pancitopenia de cualquier grado (disminución concomitante de hemoglobina, leucocitos y plaquetas).</w:t>
      </w:r>
    </w:p>
    <w:p w:rsidR="00000000" w:rsidDel="00000000" w:rsidP="00000000" w:rsidRDefault="00000000" w:rsidRPr="00000000" w14:paraId="0000007A">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Sospecha de síndrome mielodisplásico, aplasia medular, leucemia u otras neoplasias hematológicas.</w:t>
      </w:r>
    </w:p>
    <w:p w:rsidR="00000000" w:rsidDel="00000000" w:rsidP="00000000" w:rsidRDefault="00000000" w:rsidRPr="00000000" w14:paraId="0000007B">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Hemoglobinopatías confirmadas por electroforesis de hemoglobina (drepanocitosis, talasemia).</w:t>
      </w:r>
    </w:p>
    <w:p w:rsidR="00000000" w:rsidDel="00000000" w:rsidP="00000000" w:rsidRDefault="00000000" w:rsidRPr="00000000" w14:paraId="0000007C">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Hemólisis autoinmune confirmada o sospecha de hemólisis por causa no aclarada.</w:t>
      </w:r>
    </w:p>
    <w:p w:rsidR="00000000" w:rsidDel="00000000" w:rsidP="00000000" w:rsidRDefault="00000000" w:rsidRPr="00000000" w14:paraId="0000007D">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Anemia megaloblástica con manifestaciones neurológicas activas (parestesias, ataxia, deterioro cognitivo).</w:t>
      </w:r>
    </w:p>
    <w:p w:rsidR="00000000" w:rsidDel="00000000" w:rsidP="00000000" w:rsidRDefault="00000000" w:rsidRPr="00000000" w14:paraId="0000007E">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Anemia en paciente oncológico activo en tratamiento quimioterápico o radioterápico.</w:t>
      </w:r>
    </w:p>
    <w:p w:rsidR="00000000" w:rsidDel="00000000" w:rsidP="00000000" w:rsidRDefault="00000000" w:rsidRPr="00000000" w14:paraId="0000007F">
      <w:pPr>
        <w:numPr>
          <w:ilvl w:val="0"/>
          <w:numId w:val="12"/>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Gestante con anemia grave (Hb &lt; 9 g/dL) o con intolerancia documentada al tratamiento oral, candidata a hierro intravenoso.(6)</w:t>
      </w:r>
    </w:p>
    <w:p w:rsidR="00000000" w:rsidDel="00000000" w:rsidP="00000000" w:rsidRDefault="00000000" w:rsidRPr="00000000" w14:paraId="00000080">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Roles y Responsabilidades</w:t>
      </w:r>
    </w:p>
    <w:p w:rsidR="00000000" w:rsidDel="00000000" w:rsidP="00000000" w:rsidRDefault="00000000" w:rsidRPr="00000000" w14:paraId="0000008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Centro remisor / profesional solicitante</w:t>
      </w:r>
    </w:p>
    <w:p w:rsidR="00000000" w:rsidDel="00000000" w:rsidP="00000000" w:rsidRDefault="00000000" w:rsidRPr="00000000" w14:paraId="00000082">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Identificar a los pacientes requieren tele-experticia por anemia  persistente de etiología no aclarada, respuesta inadecuada al tratamiento instaurado, necesidad de segunda opinión clínica o definición de remisión a mayor nivel de complejidad.</w:t>
      </w:r>
    </w:p>
    <w:p w:rsidR="00000000" w:rsidDel="00000000" w:rsidP="00000000" w:rsidRDefault="00000000" w:rsidRPr="00000000" w14:paraId="00000083">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Realizar la valoración clínica presencial inicial, incluyendo anamnesis dirigida (historia clínica, pérdidas hemáticas, antecedentes de cirugías, uso de fármacos, síntomas neurológicos), examen físico completo, signos vitales, revisión de adherencia al tratamiento, comorbilidades y paraclínicos disponibles.</w:t>
      </w:r>
    </w:p>
    <w:p w:rsidR="00000000" w:rsidDel="00000000" w:rsidP="00000000" w:rsidRDefault="00000000" w:rsidRPr="00000000" w14:paraId="00000084">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Clasificar la severidad de la anemia y la probable etiología con base en la información disponible, siguiendo los criterios diagnósticos de la OMS. </w:t>
      </w:r>
    </w:p>
    <w:p w:rsidR="00000000" w:rsidDel="00000000" w:rsidP="00000000" w:rsidRDefault="00000000" w:rsidRPr="00000000" w14:paraId="00000085">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Generar la solicitud formal de tele-experticia con información clínica completa, pertinente y trazable, adjuntando hemograma con índices eritrocitarios, recuento de reticulocitos, extendido de sangre periférica, perfil de hierro, vitamina B12, ácido fólico y otros paraclínicos disponibles.</w:t>
      </w:r>
    </w:p>
    <w:p w:rsidR="00000000" w:rsidDel="00000000" w:rsidP="00000000" w:rsidRDefault="00000000" w:rsidRPr="00000000" w14:paraId="00000086">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Acompañar al paciente durante la atención presencial y facilitar la interacción con el profesional experto cuando la tele-experticia sea de modalidad sincrónica.</w:t>
      </w:r>
    </w:p>
    <w:p w:rsidR="00000000" w:rsidDel="00000000" w:rsidP="00000000" w:rsidRDefault="00000000" w:rsidRPr="00000000" w14:paraId="00000087">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Implementar las recomendaciones emitidas por el profesional experto dentro del marco de sus competencias y de la capacidad resolutiva del servicio, incluyendo ajustes de tratamiento, solicitud de estudios complementarios y gestión de remisiones.</w:t>
      </w:r>
    </w:p>
    <w:p w:rsidR="00000000" w:rsidDel="00000000" w:rsidP="00000000" w:rsidRDefault="00000000" w:rsidRPr="00000000" w14:paraId="00000088">
      <w:pPr>
        <w:numPr>
          <w:ilvl w:val="0"/>
          <w:numId w:val="9"/>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Registrar en la historia clínica la solicitud, la justificación, la información enviada, el concepto recibido y la conducta final adoptada, garantizando trazabilidad completa del proceso.</w:t>
      </w:r>
    </w:p>
    <w:p w:rsidR="00000000" w:rsidDel="00000000" w:rsidP="00000000" w:rsidRDefault="00000000" w:rsidRPr="00000000" w14:paraId="0000008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experto (centro referente)</w:t>
      </w:r>
    </w:p>
    <w:p w:rsidR="00000000" w:rsidDel="00000000" w:rsidP="00000000" w:rsidRDefault="00000000" w:rsidRPr="00000000" w14:paraId="0000008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Analizar la información clínica y paraclínica recibida y emitir concepto técnico-clínico orientado al diagnóstico etiológico y al manejo de la anemia, con recomendaciones claras, aplicables y fundamentadas en la mejor evidencia disponible.</w:t>
      </w:r>
    </w:p>
    <w:p w:rsidR="00000000" w:rsidDel="00000000" w:rsidP="00000000" w:rsidRDefault="00000000" w:rsidRPr="00000000" w14:paraId="0000008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Orientar el abordaje diagnóstico según el tipo morfológico de la anemia (microcítica, normocítica, macrocítica) y los hallazgos del perfil de hierro, vitaminas y marcadores funcionales disponibles.</w:t>
      </w:r>
    </w:p>
    <w:p w:rsidR="00000000" w:rsidDel="00000000" w:rsidP="00000000" w:rsidRDefault="00000000" w:rsidRPr="00000000" w14:paraId="0000008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Registrar la opinión médica de forma completa y trazable en la historia clínica, con fecha y hora de la interconsulta.</w:t>
      </w:r>
    </w:p>
    <w:p w:rsidR="00000000" w:rsidDel="00000000" w:rsidP="00000000" w:rsidRDefault="00000000" w:rsidRPr="00000000" w14:paraId="0000008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Respetar los tiempos de respuesta establecidos institucionalmente para la tele-experticia programada.</w:t>
      </w:r>
    </w:p>
    <w:p w:rsidR="00000000" w:rsidDel="00000000" w:rsidP="00000000" w:rsidRDefault="00000000" w:rsidRPr="00000000" w14:paraId="0000008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Indicar criterios de remisión a hematología u otras especialidades cuando el caso lo requiera, con justificación clínica explícita.</w:t>
      </w:r>
    </w:p>
    <w:p w:rsidR="00000000" w:rsidDel="00000000" w:rsidP="00000000" w:rsidRDefault="00000000" w:rsidRPr="00000000" w14:paraId="0000008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Equipo de soporte tecnológico</w:t>
      </w:r>
    </w:p>
    <w:p w:rsidR="00000000" w:rsidDel="00000000" w:rsidP="00000000" w:rsidRDefault="00000000" w:rsidRPr="00000000" w14:paraId="0000009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Garantizar la disponibilidad, seguridad, operatividad y trazabilidad de las plataformas tecnológicas empleadas en la tele-experticia.</w:t>
      </w:r>
    </w:p>
    <w:p w:rsidR="00000000" w:rsidDel="00000000" w:rsidP="00000000" w:rsidRDefault="00000000" w:rsidRPr="00000000" w14:paraId="0000009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Asegurar condiciones de confidencialidad, interoperabilidad y resguardo de la información conforme a la Ley 1581 de 2012 y las disposiciones vigentes sobre datos personales en salud.</w:t>
      </w:r>
    </w:p>
    <w:p w:rsidR="00000000" w:rsidDel="00000000" w:rsidP="00000000" w:rsidRDefault="00000000" w:rsidRPr="00000000" w14:paraId="0000009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Brindar soporte técnico oportuno a los equipos asistenciales para el desarrollo efectivo de la tele-experticia.</w:t>
      </w:r>
    </w:p>
    <w:p w:rsidR="00000000" w:rsidDel="00000000" w:rsidP="00000000" w:rsidRDefault="00000000" w:rsidRPr="00000000" w14:paraId="0000009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Equipo de gestión clínica / calidad</w:t>
      </w:r>
    </w:p>
    <w:p w:rsidR="00000000" w:rsidDel="00000000" w:rsidP="00000000" w:rsidRDefault="00000000" w:rsidRPr="00000000" w14:paraId="0000009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Monitorizar la adherencia al protocolo y al flujo operativo institucional mediante indicadores periódicos.</w:t>
      </w:r>
    </w:p>
    <w:p w:rsidR="00000000" w:rsidDel="00000000" w:rsidP="00000000" w:rsidRDefault="00000000" w:rsidRPr="00000000" w14:paraId="0000009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Evaluar indicadores de oportunidad, completitud del registro y calidad del concepto emitido, incluyendo los indicadores de calidad definidos en la Sección 13 de este protocolo.</w:t>
      </w:r>
    </w:p>
    <w:p w:rsidR="00000000" w:rsidDel="00000000" w:rsidP="00000000" w:rsidRDefault="00000000" w:rsidRPr="00000000" w14:paraId="0000009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Promover acciones de mejora continua, capacitación del talento humano y retroalimentación entre el centro remisor y el centro referente.</w:t>
      </w:r>
    </w:p>
    <w:p w:rsidR="00000000" w:rsidDel="00000000" w:rsidP="00000000" w:rsidRDefault="00000000" w:rsidRPr="00000000" w14:paraId="00000097">
      <w:pPr>
        <w:rPr>
          <w:rFonts w:ascii="Arial" w:cs="Arial" w:eastAsia="Arial" w:hAnsi="Arial"/>
          <w:b w:val="1"/>
          <w:bCs w:val="1"/>
          <w:color w:val="000000"/>
          <w:sz w:val="24"/>
          <w:szCs w:val="24"/>
        </w:rPr>
      </w:pPr>
      <w:r w:rsidDel="00000000" w:rsidR="00000000" w:rsidRPr="00000000">
        <w:rPr>
          <w:b w:val="1"/>
          <w:bCs w:val="1"/>
          <w:color w:val="262626"/>
          <w:sz w:val="28"/>
          <w:szCs w:val="28"/>
          <w:rtl w:val="0"/>
        </w:rPr>
        <w:t xml:space="preserve">Tiempos de respuesta sugeridos</w:t>
      </w:r>
      <w:r w:rsidDel="00000000" w:rsidR="00000000" w:rsidRPr="00000000">
        <w:rPr>
          <w:rtl w:val="0"/>
        </w:rPr>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shd w:fill="17365d" w:val="clear"/>
          </w:tcPr>
          <w:p w:rsidR="00000000" w:rsidDel="00000000" w:rsidP="00000000" w:rsidRDefault="00000000" w:rsidRPr="00000000" w14:paraId="00000098">
            <w:pPr>
              <w:rPr>
                <w:b w:val="1"/>
                <w:bCs w:val="1"/>
                <w:color w:val="ffffff"/>
                <w:sz w:val="28"/>
                <w:szCs w:val="28"/>
              </w:rPr>
            </w:pPr>
            <w:r w:rsidDel="00000000" w:rsidR="00000000" w:rsidRPr="00000000">
              <w:rPr>
                <w:b w:val="1"/>
                <w:bCs w:val="1"/>
                <w:color w:val="ffffff"/>
                <w:sz w:val="28"/>
                <w:szCs w:val="28"/>
                <w:rtl w:val="0"/>
              </w:rPr>
              <w:t xml:space="preserve">Prioridad</w:t>
            </w:r>
          </w:p>
        </w:tc>
        <w:tc>
          <w:tcPr>
            <w:shd w:fill="17365d" w:val="clear"/>
          </w:tcPr>
          <w:p w:rsidR="00000000" w:rsidDel="00000000" w:rsidP="00000000" w:rsidRDefault="00000000" w:rsidRPr="00000000" w14:paraId="00000099">
            <w:pPr>
              <w:rPr>
                <w:b w:val="1"/>
                <w:bCs w:val="1"/>
                <w:color w:val="ffffff"/>
                <w:sz w:val="28"/>
                <w:szCs w:val="28"/>
              </w:rPr>
            </w:pPr>
            <w:r w:rsidDel="00000000" w:rsidR="00000000" w:rsidRPr="00000000">
              <w:rPr>
                <w:b w:val="1"/>
                <w:bCs w:val="1"/>
                <w:color w:val="ffffff"/>
                <w:sz w:val="28"/>
                <w:szCs w:val="28"/>
                <w:rtl w:val="0"/>
              </w:rPr>
              <w:t xml:space="preserve">Tiempo máximo de respuesta. </w:t>
            </w:r>
          </w:p>
        </w:tc>
      </w:tr>
      <w:tr>
        <w:trPr>
          <w:cantSplit w:val="0"/>
          <w:tblHeader w:val="0"/>
        </w:trPr>
        <w:tc>
          <w:tcPr/>
          <w:p w:rsidR="00000000" w:rsidDel="00000000" w:rsidP="00000000" w:rsidRDefault="00000000" w:rsidRPr="00000000" w14:paraId="0000009A">
            <w:pPr>
              <w:rPr>
                <w:b w:val="1"/>
                <w:bCs w:val="1"/>
                <w:color w:val="262626"/>
                <w:sz w:val="28"/>
                <w:szCs w:val="28"/>
              </w:rPr>
            </w:pPr>
            <w:r w:rsidDel="00000000" w:rsidR="00000000" w:rsidRPr="00000000">
              <w:rPr>
                <w:b w:val="1"/>
                <w:bCs w:val="1"/>
                <w:color w:val="262626"/>
                <w:sz w:val="28"/>
                <w:szCs w:val="28"/>
                <w:rtl w:val="0"/>
              </w:rPr>
              <w:t xml:space="preserve">Emergencia Vital</w:t>
            </w:r>
          </w:p>
        </w:tc>
        <w:tc>
          <w:tcPr/>
          <w:p w:rsidR="00000000" w:rsidDel="00000000" w:rsidP="00000000" w:rsidRDefault="00000000" w:rsidRPr="00000000" w14:paraId="0000009B">
            <w:pPr>
              <w:rPr>
                <w:b w:val="1"/>
                <w:bCs w:val="1"/>
                <w:color w:val="262626"/>
                <w:sz w:val="28"/>
                <w:szCs w:val="28"/>
              </w:rPr>
            </w:pPr>
            <w:r w:rsidDel="00000000" w:rsidR="00000000" w:rsidRPr="00000000">
              <w:rPr>
                <w:b w:val="1"/>
                <w:bCs w:val="1"/>
                <w:color w:val="262626"/>
                <w:sz w:val="28"/>
                <w:szCs w:val="28"/>
                <w:rtl w:val="0"/>
              </w:rPr>
              <w:t xml:space="preserve">Atención inmediata </w:t>
            </w:r>
          </w:p>
        </w:tc>
      </w:tr>
      <w:tr>
        <w:trPr>
          <w:cantSplit w:val="0"/>
          <w:tblHeader w:val="0"/>
        </w:trPr>
        <w:tc>
          <w:tcPr/>
          <w:p w:rsidR="00000000" w:rsidDel="00000000" w:rsidP="00000000" w:rsidRDefault="00000000" w:rsidRPr="00000000" w14:paraId="0000009C">
            <w:pPr>
              <w:rPr>
                <w:b w:val="1"/>
                <w:bCs w:val="1"/>
                <w:color w:val="262626"/>
                <w:sz w:val="28"/>
                <w:szCs w:val="28"/>
              </w:rPr>
            </w:pPr>
            <w:r w:rsidDel="00000000" w:rsidR="00000000" w:rsidRPr="00000000">
              <w:rPr>
                <w:b w:val="1"/>
                <w:bCs w:val="1"/>
                <w:color w:val="262626"/>
                <w:sz w:val="28"/>
                <w:szCs w:val="28"/>
                <w:rtl w:val="0"/>
              </w:rPr>
              <w:t xml:space="preserve">Urgencia Prioritaria</w:t>
            </w:r>
          </w:p>
        </w:tc>
        <w:tc>
          <w:tcPr/>
          <w:p w:rsidR="00000000" w:rsidDel="00000000" w:rsidP="00000000" w:rsidRDefault="00000000" w:rsidRPr="00000000" w14:paraId="0000009D">
            <w:pPr>
              <w:rPr>
                <w:b w:val="1"/>
                <w:bCs w:val="1"/>
                <w:color w:val="262626"/>
                <w:sz w:val="28"/>
                <w:szCs w:val="28"/>
              </w:rPr>
            </w:pPr>
            <w:r w:rsidDel="00000000" w:rsidR="00000000" w:rsidRPr="00000000">
              <w:rPr>
                <w:b w:val="1"/>
                <w:bCs w:val="1"/>
                <w:color w:val="262626"/>
                <w:sz w:val="28"/>
                <w:szCs w:val="28"/>
                <w:rtl w:val="0"/>
              </w:rPr>
              <w:t xml:space="preserve">30 minutos</w:t>
            </w:r>
          </w:p>
        </w:tc>
      </w:tr>
      <w:tr>
        <w:trPr>
          <w:cantSplit w:val="0"/>
          <w:tblHeader w:val="0"/>
        </w:trPr>
        <w:tc>
          <w:tcPr/>
          <w:p w:rsidR="00000000" w:rsidDel="00000000" w:rsidP="00000000" w:rsidRDefault="00000000" w:rsidRPr="00000000" w14:paraId="0000009E">
            <w:pPr>
              <w:rPr>
                <w:b w:val="1"/>
                <w:bCs w:val="1"/>
                <w:color w:val="262626"/>
                <w:sz w:val="28"/>
                <w:szCs w:val="28"/>
              </w:rPr>
            </w:pPr>
            <w:r w:rsidDel="00000000" w:rsidR="00000000" w:rsidRPr="00000000">
              <w:rPr>
                <w:b w:val="1"/>
                <w:bCs w:val="1"/>
                <w:color w:val="262626"/>
                <w:sz w:val="28"/>
                <w:szCs w:val="28"/>
                <w:rtl w:val="0"/>
              </w:rPr>
              <w:t xml:space="preserve">Urgencia No vital </w:t>
            </w:r>
          </w:p>
        </w:tc>
        <w:tc>
          <w:tcPr/>
          <w:p w:rsidR="00000000" w:rsidDel="00000000" w:rsidP="00000000" w:rsidRDefault="00000000" w:rsidRPr="00000000" w14:paraId="0000009F">
            <w:pPr>
              <w:rPr>
                <w:b w:val="1"/>
                <w:bCs w:val="1"/>
                <w:color w:val="262626"/>
                <w:sz w:val="28"/>
                <w:szCs w:val="28"/>
              </w:rPr>
            </w:pPr>
            <w:r w:rsidDel="00000000" w:rsidR="00000000" w:rsidRPr="00000000">
              <w:rPr>
                <w:b w:val="1"/>
                <w:bCs w:val="1"/>
                <w:color w:val="262626"/>
                <w:sz w:val="28"/>
                <w:szCs w:val="28"/>
                <w:rtl w:val="0"/>
              </w:rPr>
              <w:t xml:space="preserve">3 horas </w:t>
            </w:r>
          </w:p>
        </w:tc>
      </w:tr>
      <w:tr>
        <w:trPr>
          <w:cantSplit w:val="0"/>
          <w:tblHeader w:val="0"/>
        </w:trPr>
        <w:tc>
          <w:tcPr/>
          <w:p w:rsidR="00000000" w:rsidDel="00000000" w:rsidP="00000000" w:rsidRDefault="00000000" w:rsidRPr="00000000" w14:paraId="000000A0">
            <w:pPr>
              <w:rPr>
                <w:b w:val="1"/>
                <w:bCs w:val="1"/>
                <w:color w:val="262626"/>
                <w:sz w:val="28"/>
                <w:szCs w:val="28"/>
              </w:rPr>
            </w:pPr>
            <w:r w:rsidDel="00000000" w:rsidR="00000000" w:rsidRPr="00000000">
              <w:rPr>
                <w:b w:val="1"/>
                <w:bCs w:val="1"/>
                <w:color w:val="262626"/>
                <w:sz w:val="28"/>
                <w:szCs w:val="28"/>
                <w:rtl w:val="0"/>
              </w:rPr>
              <w:t xml:space="preserve">Consulta no urgente /ambulatoria</w:t>
            </w:r>
          </w:p>
        </w:tc>
        <w:tc>
          <w:tcPr/>
          <w:p w:rsidR="00000000" w:rsidDel="00000000" w:rsidP="00000000" w:rsidRDefault="00000000" w:rsidRPr="00000000" w14:paraId="000000A1">
            <w:pPr>
              <w:rPr>
                <w:b w:val="1"/>
                <w:bCs w:val="1"/>
                <w:color w:val="262626"/>
                <w:sz w:val="28"/>
                <w:szCs w:val="28"/>
              </w:rPr>
            </w:pPr>
            <w:r w:rsidDel="00000000" w:rsidR="00000000" w:rsidRPr="00000000">
              <w:rPr>
                <w:b w:val="1"/>
                <w:bCs w:val="1"/>
                <w:color w:val="262626"/>
                <w:sz w:val="28"/>
                <w:szCs w:val="28"/>
                <w:rtl w:val="0"/>
              </w:rPr>
              <w:t xml:space="preserve">24 horas </w:t>
            </w:r>
          </w:p>
        </w:tc>
      </w:tr>
    </w:tbl>
    <w:p w:rsidR="00000000" w:rsidDel="00000000" w:rsidP="00000000" w:rsidRDefault="00000000" w:rsidRPr="00000000" w14:paraId="000000A2">
      <w:pPr>
        <w:rPr>
          <w:b w:val="1"/>
          <w:bCs w:val="1"/>
          <w:color w:val="262626"/>
          <w:sz w:val="28"/>
          <w:szCs w:val="28"/>
        </w:rPr>
      </w:pPr>
      <w:r w:rsidDel="00000000" w:rsidR="00000000" w:rsidRPr="00000000">
        <w:rPr>
          <w:rtl w:val="0"/>
        </w:rPr>
      </w:r>
    </w:p>
    <w:p w:rsidR="00000000" w:rsidDel="00000000" w:rsidP="00000000" w:rsidRDefault="00000000" w:rsidRPr="00000000" w14:paraId="000000A3">
      <w:pPr>
        <w:rPr>
          <w:b w:val="1"/>
          <w:bCs w:val="1"/>
          <w:color w:val="262626"/>
          <w:sz w:val="28"/>
          <w:szCs w:val="28"/>
        </w:rPr>
      </w:pPr>
      <w:r w:rsidDel="00000000" w:rsidR="00000000" w:rsidRPr="00000000">
        <w:rPr>
          <w:b w:val="1"/>
          <w:bCs w:val="1"/>
          <w:color w:val="262626"/>
          <w:sz w:val="28"/>
          <w:szCs w:val="28"/>
          <w:rtl w:val="0"/>
        </w:rPr>
        <w:t xml:space="preserve">Estrategias de humanización digital</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privacidad del espacio durante la teleconsulta, evitar interrupciones, ruido</w:t>
      </w: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 y presencia de personas no autorizadas. </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El medico remitente debe presentar al paciente al profesional experto por el nombre, no como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caso u otro adjetivo. </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Usar lenguaje sencillo, accesible, no técnico al comunicar las recomendaciones al paciente,</w:t>
      </w: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 familiar o cuidador. </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Reconocer el impacto emocional del paciente, familia o acompañante, tener una actitud empática permanente. </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Evitar juicios de valor, la meta es acompañar no imponer.  </w:t>
      </w:r>
    </w:p>
    <w:p w:rsidR="00000000" w:rsidDel="00000000" w:rsidP="00000000" w:rsidRDefault="00000000" w:rsidRPr="00000000" w14:paraId="000000A9">
      <w:pPr>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Dialogo intercultural</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Reconocer las practicas sanitarias culturales en territorios con poblaciones indígenas, afroamericanas, campesinas u otras y dialogar desde el respeto, sin invalidar orientando a practicas seguras. </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Involucrar a médicos ancestrales, lideres comunitarios, promotores de salud, etc. como aliados en la captación y seguimiento. </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2626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
          <w:szCs w:val="24"/>
          <w:u w:val="none"/>
          <w:shd w:fill="auto" w:val="clear"/>
          <w:vertAlign w:val="baseline"/>
          <w:rtl w:val="0"/>
        </w:rPr>
        <w:t xml:space="preserve">Implementar estrategias educativas al contexto cultural, al idioma o lengua predominante en las comunidades. </w:t>
      </w:r>
    </w:p>
    <w:p w:rsidR="00000000" w:rsidDel="00000000" w:rsidP="00000000" w:rsidRDefault="00000000" w:rsidRPr="00000000" w14:paraId="000000AD">
      <w:pPr>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Indicadores </w:t>
      </w:r>
    </w:p>
    <w:p w:rsidR="00000000" w:rsidDel="00000000" w:rsidP="00000000" w:rsidRDefault="00000000" w:rsidRPr="00000000" w14:paraId="000000AE">
      <w:pPr>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El programa de atención de anemia mediante tele-experticia deberá monitorizar periódicamente los siguientes indicadores de calidad, adaptados de los estándares propuestos en la Guía Clínica de Diagnóstico y Manejo de la Anemia:(4,5,6)</w:t>
      </w:r>
    </w:p>
    <w:p w:rsidR="00000000" w:rsidDel="00000000" w:rsidP="00000000" w:rsidRDefault="00000000" w:rsidRPr="00000000" w14:paraId="000000AF">
      <w:pPr>
        <w:numPr>
          <w:ilvl w:val="0"/>
          <w:numId w:val="13"/>
        </w:numPr>
        <w:ind w:left="720" w:hanging="360"/>
        <w:rPr>
          <w:rFonts w:ascii="Arial" w:cs="Arial" w:eastAsia="Arial" w:hAnsi="Arial"/>
          <w:color w:val="262626"/>
          <w:sz w:val="24"/>
          <w:szCs w:val="24"/>
        </w:rPr>
      </w:pPr>
      <w:sdt>
        <w:sdtPr>
          <w:id w:val="-1454347967"/>
          <w:tag w:val="goog_rdk_2"/>
        </w:sdtPr>
        <w:sdtContent>
          <w:r w:rsidDel="00000000" w:rsidR="00000000" w:rsidRPr="00000000">
            <w:rPr>
              <w:rFonts w:ascii="Arial Unicode MS" w:cs="Arial Unicode MS" w:eastAsia="Arial Unicode MS" w:hAnsi="Arial Unicode MS"/>
              <w:color w:val="262626"/>
              <w:sz w:val="24"/>
              <w:szCs w:val="24"/>
              <w:rtl w:val="0"/>
            </w:rPr>
            <w:t xml:space="preserve">Porcentaje de pacientes con anemia que reciben clasificación morfológica documentada (VCM) en la primera consulta. Meta institucional: ≥ 95%.</w:t>
          </w:r>
        </w:sdtContent>
      </w:sdt>
    </w:p>
    <w:p w:rsidR="00000000" w:rsidDel="00000000" w:rsidP="00000000" w:rsidRDefault="00000000" w:rsidRPr="00000000" w14:paraId="000000B0">
      <w:pPr>
        <w:numPr>
          <w:ilvl w:val="0"/>
          <w:numId w:val="13"/>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Porcentaje de gestantes con tamizaje de anemia en el primer control prenatal. Meta: 100%.</w:t>
      </w:r>
    </w:p>
    <w:p w:rsidR="00000000" w:rsidDel="00000000" w:rsidP="00000000" w:rsidRDefault="00000000" w:rsidRPr="00000000" w14:paraId="000000B1">
      <w:pPr>
        <w:numPr>
          <w:ilvl w:val="0"/>
          <w:numId w:val="13"/>
        </w:numPr>
        <w:ind w:left="720" w:hanging="360"/>
        <w:rPr>
          <w:rFonts w:ascii="Arial" w:cs="Arial" w:eastAsia="Arial" w:hAnsi="Arial"/>
          <w:color w:val="262626"/>
          <w:sz w:val="24"/>
          <w:szCs w:val="24"/>
        </w:rPr>
      </w:pPr>
      <w:sdt>
        <w:sdtPr>
          <w:id w:val="-784508491"/>
          <w:tag w:val="goog_rdk_3"/>
        </w:sdtPr>
        <w:sdtContent>
          <w:r w:rsidDel="00000000" w:rsidR="00000000" w:rsidRPr="00000000">
            <w:rPr>
              <w:rFonts w:ascii="Arial Unicode MS" w:cs="Arial Unicode MS" w:eastAsia="Arial Unicode MS" w:hAnsi="Arial Unicode MS"/>
              <w:color w:val="262626"/>
              <w:sz w:val="24"/>
              <w:szCs w:val="24"/>
              <w:rtl w:val="0"/>
            </w:rPr>
            <w:t xml:space="preserve">Porcentaje de pacientes con anemia ferropénica confirmada que inician tratamiento con hierro dentro de los 7 días del diagnóstico. Meta: ≥ 90%.</w:t>
          </w:r>
        </w:sdtContent>
      </w:sdt>
    </w:p>
    <w:p w:rsidR="00000000" w:rsidDel="00000000" w:rsidP="00000000" w:rsidRDefault="00000000" w:rsidRPr="00000000" w14:paraId="000000B2">
      <w:pPr>
        <w:numPr>
          <w:ilvl w:val="0"/>
          <w:numId w:val="13"/>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Porcentaje de casos de anemia megaloblástica en quienes se descartó deficiencia de vitamina B12 antes de iniciar ácido fólico. Meta: 100%.</w:t>
      </w:r>
    </w:p>
    <w:p w:rsidR="00000000" w:rsidDel="00000000" w:rsidP="00000000" w:rsidRDefault="00000000" w:rsidRPr="00000000" w14:paraId="000000B3">
      <w:pPr>
        <w:numPr>
          <w:ilvl w:val="0"/>
          <w:numId w:val="13"/>
        </w:numPr>
        <w:ind w:left="720" w:hanging="360"/>
        <w:rPr>
          <w:rFonts w:ascii="Arial" w:cs="Arial" w:eastAsia="Arial" w:hAnsi="Arial"/>
          <w:color w:val="262626"/>
          <w:sz w:val="24"/>
          <w:szCs w:val="24"/>
        </w:rPr>
      </w:pPr>
      <w:sdt>
        <w:sdtPr>
          <w:id w:val="-1553065309"/>
          <w:tag w:val="goog_rdk_4"/>
        </w:sdtPr>
        <w:sdtContent>
          <w:r w:rsidDel="00000000" w:rsidR="00000000" w:rsidRPr="00000000">
            <w:rPr>
              <w:rFonts w:ascii="Arial Unicode MS" w:cs="Arial Unicode MS" w:eastAsia="Arial Unicode MS" w:hAnsi="Arial Unicode MS"/>
              <w:color w:val="262626"/>
              <w:sz w:val="24"/>
              <w:szCs w:val="24"/>
              <w:rtl w:val="0"/>
            </w:rPr>
            <w:t xml:space="preserve">Tasa de transfusión potencialmente inapropiada (paciente con Hb &gt; 7 g/dL sin síntomas que ameriten transfusión). Meta: ≤ 5%.</w:t>
          </w:r>
        </w:sdtContent>
      </w:sdt>
    </w:p>
    <w:p w:rsidR="00000000" w:rsidDel="00000000" w:rsidP="00000000" w:rsidRDefault="00000000" w:rsidRPr="00000000" w14:paraId="000000B4">
      <w:pPr>
        <w:numPr>
          <w:ilvl w:val="0"/>
          <w:numId w:val="13"/>
        </w:numPr>
        <w:ind w:left="720" w:hanging="360"/>
        <w:rPr>
          <w:rFonts w:ascii="Arial" w:cs="Arial" w:eastAsia="Arial" w:hAnsi="Arial"/>
          <w:color w:val="262626"/>
          <w:sz w:val="24"/>
          <w:szCs w:val="24"/>
        </w:rPr>
      </w:pPr>
      <w:sdt>
        <w:sdtPr>
          <w:id w:val="-458623999"/>
          <w:tag w:val="goog_rdk_5"/>
        </w:sdtPr>
        <w:sdtContent>
          <w:r w:rsidDel="00000000" w:rsidR="00000000" w:rsidRPr="00000000">
            <w:rPr>
              <w:rFonts w:ascii="Arial Unicode MS" w:cs="Arial Unicode MS" w:eastAsia="Arial Unicode MS" w:hAnsi="Arial Unicode MS"/>
              <w:color w:val="262626"/>
              <w:sz w:val="24"/>
              <w:szCs w:val="24"/>
              <w:rtl w:val="0"/>
            </w:rPr>
            <w:t xml:space="preserve">Porcentaje de solicitudes de tele-experticia con respuesta dentro de los tiempos establecidos. Meta: ≥ 90%.</w:t>
          </w:r>
        </w:sdtContent>
      </w:sdt>
    </w:p>
    <w:p w:rsidR="00000000" w:rsidDel="00000000" w:rsidP="00000000" w:rsidRDefault="00000000" w:rsidRPr="00000000" w14:paraId="000000B5">
      <w:pPr>
        <w:numPr>
          <w:ilvl w:val="0"/>
          <w:numId w:val="13"/>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Tasa de pacientes con anemia que alcanzan meta de hemoglobina en el seguimiento a 3 meses. Meta definida institucionalmente según etiología.</w:t>
      </w:r>
    </w:p>
    <w:p w:rsidR="00000000" w:rsidDel="00000000" w:rsidP="00000000" w:rsidRDefault="00000000" w:rsidRPr="00000000" w14:paraId="000000B6">
      <w:pPr>
        <w:rPr>
          <w:rFonts w:ascii="Arial" w:cs="Arial" w:eastAsia="Arial" w:hAnsi="Arial"/>
          <w:b w:val="1"/>
          <w:bCs w:val="1"/>
          <w:color w:val="262626"/>
          <w:sz w:val="24"/>
          <w:szCs w:val="24"/>
        </w:rPr>
      </w:pPr>
      <w:r w:rsidDel="00000000" w:rsidR="00000000" w:rsidRPr="00000000">
        <w:rPr>
          <w:rFonts w:ascii="Arial" w:cs="Arial" w:eastAsia="Arial" w:hAnsi="Arial"/>
          <w:b w:val="1"/>
          <w:bCs w:val="1"/>
          <w:color w:val="262626"/>
          <w:sz w:val="24"/>
          <w:szCs w:val="24"/>
          <w:rtl w:val="0"/>
        </w:rPr>
        <w:t xml:space="preserve">Bibliografía</w:t>
      </w:r>
    </w:p>
    <w:p w:rsidR="00000000" w:rsidDel="00000000" w:rsidP="00000000" w:rsidRDefault="00000000" w:rsidRPr="00000000" w14:paraId="000000B7">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World Health Organization. Guideline on haemoglobin cutoffs to define anaemia in individuals and populations. Geneva: WHO; 2024. Licence: CC BY-NC-SA 3.0 IGO.</w:t>
      </w:r>
    </w:p>
    <w:p w:rsidR="00000000" w:rsidDel="00000000" w:rsidP="00000000" w:rsidRDefault="00000000" w:rsidRPr="00000000" w14:paraId="000000B8">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Suprapti B, Lailiyah M, Maretya NS, et al. Anemia: etiology, pathophysiology, impact, and prevention: a review. Iran J Public Health. 2025;54(1):1-12.</w:t>
      </w:r>
    </w:p>
    <w:p w:rsidR="00000000" w:rsidDel="00000000" w:rsidP="00000000" w:rsidRDefault="00000000" w:rsidRPr="00000000" w14:paraId="000000B9">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Chaparro CM, Suchdev PS. Anemia epidemiology, pathophysiology, and etiology in low- and middle-income countries. Ann N Y Acad Sci. 2019;1450(1):15-31. doi:10.1111/nyas.14092</w:t>
      </w:r>
    </w:p>
    <w:p w:rsidR="00000000" w:rsidDel="00000000" w:rsidP="00000000" w:rsidRDefault="00000000" w:rsidRPr="00000000" w14:paraId="000000BA">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Sánchez Salinas A, Sánchez Godoy P, Moraleda Jiménez JM. Anemia: definición, clínica y clasificación. En: Hematología Clínica. Hospital Clínico Universitario Virgen de la Arrixaca, Universidad de Murcia; p. 39-57.</w:t>
      </w:r>
    </w:p>
    <w:p w:rsidR="00000000" w:rsidDel="00000000" w:rsidP="00000000" w:rsidRDefault="00000000" w:rsidRPr="00000000" w14:paraId="000000BB">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Iolascon A, Andolfo I, Russo R, Sanchez M, Busti F, Swinkels D, et al. Recommendations for diagnosis, treatment, and prevention of iron deficiency and iron deficiency anemia. Hemasphere. 2024;8(7):e108. doi:10.1002/hem3.108</w:t>
      </w:r>
    </w:p>
    <w:p w:rsidR="00000000" w:rsidDel="00000000" w:rsidP="00000000" w:rsidRDefault="00000000" w:rsidRPr="00000000" w14:paraId="000000BC">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Shatzel JJ, Olson SR, DeLoughery TG, et al. Management of iron deficiency in children, adults, and pregnant individuals: evidence-based and expert consensus recommendations. Lancet Haematol. 2025. doi:10.1016/S2352-3026(25)00038-9</w:t>
      </w:r>
    </w:p>
    <w:p w:rsidR="00000000" w:rsidDel="00000000" w:rsidP="00000000" w:rsidRDefault="00000000" w:rsidRPr="00000000" w14:paraId="000000BD">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Turner J, Parsi M, Badireddy M. Anemia. [Actualizado 2023 ago 8]. En: StatPearls [Internet]. Treasure Island (FL): StatPearls Publishing; 2024.</w:t>
      </w:r>
    </w:p>
    <w:p w:rsidR="00000000" w:rsidDel="00000000" w:rsidP="00000000" w:rsidRDefault="00000000" w:rsidRPr="00000000" w14:paraId="000000BE">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Ganz T. Anemia of inflammation. N Engl J Med. 2019;381(12):1148-57. doi:10.1056/NEJMra1804281</w:t>
      </w:r>
    </w:p>
    <w:p w:rsidR="00000000" w:rsidDel="00000000" w:rsidP="00000000" w:rsidRDefault="00000000" w:rsidRPr="00000000" w14:paraId="000000BF">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Stabler SP. Vitamin B12 deficiency. N Engl J Med. 2013;368(2):149-60. doi:10.1056/NEJMcp1113996</w:t>
      </w:r>
    </w:p>
    <w:p w:rsidR="00000000" w:rsidDel="00000000" w:rsidP="00000000" w:rsidRDefault="00000000" w:rsidRPr="00000000" w14:paraId="000000C0">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Green R, Datta Mitra A. Megaloblastic anemias: nutritional and other causes. Med Clin North Am. 2016;100(2):281-306. doi:10.1016/j.mcna.2016.09.013</w:t>
      </w:r>
    </w:p>
    <w:p w:rsidR="00000000" w:rsidDel="00000000" w:rsidP="00000000" w:rsidRDefault="00000000" w:rsidRPr="00000000" w14:paraId="000000C1">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Stabler SP, Allen RH. Vitamin B12 deficiency as a worldwide problem. Annu Rev Nutr. 2004;24:299-326. doi:10.1146/annurev.nutr.24.012003.132440</w:t>
      </w:r>
    </w:p>
    <w:p w:rsidR="00000000" w:rsidDel="00000000" w:rsidP="00000000" w:rsidRDefault="00000000" w:rsidRPr="00000000" w14:paraId="000000C2">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Badura K, Janc J, Skwira S, Mlynarska E, Rysz J, Franczyk B. Anemia of chronic kidney disease: a narrative review of its pathophysiology, diagnosis, and management. Biomedicines. 2024;12(6):1191. doi:10.3390/biomedicines12061191</w:t>
      </w:r>
    </w:p>
    <w:p w:rsidR="00000000" w:rsidDel="00000000" w:rsidP="00000000" w:rsidRDefault="00000000" w:rsidRPr="00000000" w14:paraId="000000C3">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DeLoughery TG, Jackson CS, Ko CW, Rockey DC. AGA clinical practice update on management of iron deficiency anemia: expert review. Clin Gastroenterol Hepatol. 2024;22(8):1575-83. doi:10.1016/j.cgh.2024.03.046</w:t>
      </w:r>
    </w:p>
    <w:p w:rsidR="00000000" w:rsidDel="00000000" w:rsidP="00000000" w:rsidRDefault="00000000" w:rsidRPr="00000000" w14:paraId="000000C4">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GBD 2021 Anaemia Collaborators. Prevalence, years lived with disability, and trends in anaemia burden by severity and cause, 1990–2021: findings from the Global Burden of Disease Study 2021. Lancet Haematol. 2023;10(9):e713-e734. doi:10.1016/S2352-3026(23)00160-6</w:t>
      </w:r>
    </w:p>
    <w:p w:rsidR="00000000" w:rsidDel="00000000" w:rsidP="00000000" w:rsidRDefault="00000000" w:rsidRPr="00000000" w14:paraId="000000C5">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Organización de las Naciones Unidas para la Alimentación y la Agricultura (FAO). El estado de la seguridad alimentaria y la nutrición en el mundo 2023. Anemia en mujeres de 15 a 49 años. Roma: FAO; 2023.</w:t>
      </w:r>
    </w:p>
    <w:p w:rsidR="00000000" w:rsidDel="00000000" w:rsidP="00000000" w:rsidRDefault="00000000" w:rsidRPr="00000000" w14:paraId="000000C6">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Tigse Tasiguano WA, Calvopiña Villafuerte NP. Anemia megaloblástica: prevalencia, factores de riesgo, signos, síntomas y diagnóstico de laboratorio en Latinoamérica. Journal Scientific MQRInvestigar. 2024;8(1):2100-2117.</w:t>
      </w:r>
    </w:p>
    <w:p w:rsidR="00000000" w:rsidDel="00000000" w:rsidP="00000000" w:rsidRDefault="00000000" w:rsidRPr="00000000" w14:paraId="000000C7">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Instituto Nacional de Salud (INS) / Ministerio de Salud y Protección Social. Encuesta Nacional de Situación Nutricional (ENSIN 2015). Bogotá: MinSalud; 2015. Disponible en: https://www.minsalud.gov.co</w:t>
      </w:r>
    </w:p>
    <w:p w:rsidR="00000000" w:rsidDel="00000000" w:rsidP="00000000" w:rsidRDefault="00000000" w:rsidRPr="00000000" w14:paraId="000000C8">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ANNAR Health Technologies. Anemia falciforme y su impacto en la población colombiana: tamizaje neonatal 2022-2024. Bogotá: ANNAR; 2024. Disponible en: https://colombia.annarht.com</w:t>
      </w:r>
    </w:p>
    <w:p w:rsidR="00000000" w:rsidDel="00000000" w:rsidP="00000000" w:rsidRDefault="00000000" w:rsidRPr="00000000" w14:paraId="000000C9">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Fonseca-Rincón CD, Aguilera-Becerra AM. Prevalencia de anemia en población infantil de Colombia en comparación con otros países de Latinoamérica: una revisión narrativa descriptiva. Rev Investig Salud Univ Boyacá. 2024;11(2). doi:10.24267/23897325.1285</w:t>
      </w:r>
    </w:p>
    <w:p w:rsidR="00000000" w:rsidDel="00000000" w:rsidP="00000000" w:rsidRDefault="00000000" w:rsidRPr="00000000" w14:paraId="000000CA">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Resolución 2654 de 2019. Por la cual se regula la prestación de servicios de salud a través de la modalidad de telesalud. Ministerio de Salud y Protección Social, Colombia.</w:t>
      </w:r>
    </w:p>
    <w:p w:rsidR="00000000" w:rsidDel="00000000" w:rsidP="00000000" w:rsidRDefault="00000000" w:rsidRPr="00000000" w14:paraId="000000CB">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Resolución 3100 de 2019. Por la cual se adoptan los estándares y criterios para la habilitación de los servicios de salud en Colombia. Ministerio de Salud y Protección Social.</w:t>
      </w:r>
    </w:p>
    <w:p w:rsidR="00000000" w:rsidDel="00000000" w:rsidP="00000000" w:rsidRDefault="00000000" w:rsidRPr="00000000" w14:paraId="000000CC">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Ley 1419 de 2010. Por medio de la cual se establece la Política Nacional de Telesalud. Colombia.</w:t>
      </w:r>
    </w:p>
    <w:p w:rsidR="00000000" w:rsidDel="00000000" w:rsidP="00000000" w:rsidRDefault="00000000" w:rsidRPr="00000000" w14:paraId="000000CD">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Ley 1581 de 2012. Por la cual se dictan disposiciones generales para la protección de datos personales en Colombia.</w:t>
      </w:r>
    </w:p>
    <w:p w:rsidR="00000000" w:rsidDel="00000000" w:rsidP="00000000" w:rsidRDefault="00000000" w:rsidRPr="00000000" w14:paraId="000000CE">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Decreto 538 de 2020. Medidas en el sector salud durante la emergencia sanitaria por COVID-19. Colombia.</w:t>
      </w:r>
    </w:p>
    <w:p w:rsidR="00000000" w:rsidDel="00000000" w:rsidP="00000000" w:rsidRDefault="00000000" w:rsidRPr="00000000" w14:paraId="000000CF">
      <w:pPr>
        <w:numPr>
          <w:ilvl w:val="0"/>
          <w:numId w:val="14"/>
        </w:numPr>
        <w:ind w:left="720" w:hanging="360"/>
        <w:rPr>
          <w:rFonts w:ascii="Arial" w:cs="Arial" w:eastAsia="Arial" w:hAnsi="Arial"/>
          <w:color w:val="262626"/>
          <w:sz w:val="24"/>
          <w:szCs w:val="24"/>
        </w:rPr>
      </w:pPr>
      <w:r w:rsidDel="00000000" w:rsidR="00000000" w:rsidRPr="00000000">
        <w:rPr>
          <w:rFonts w:ascii="Arial" w:cs="Arial" w:eastAsia="Arial" w:hAnsi="Arial"/>
          <w:color w:val="262626"/>
          <w:sz w:val="24"/>
          <w:szCs w:val="24"/>
          <w:rtl w:val="0"/>
        </w:rPr>
        <w:t xml:space="preserve">Resolución 3280 de 2018. Lineamientos técnicos y operativos de la Ruta Integral de Atención para la Promoción y Mantenimiento de la Salud. Ministerio de Salud y Protección Social, Colombia.</w:t>
      </w:r>
    </w:p>
    <w:p w:rsidR="00000000" w:rsidDel="00000000" w:rsidP="00000000" w:rsidRDefault="00000000" w:rsidRPr="00000000" w14:paraId="000000D0">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Elaborado: Raul Walteros Hematologo </w:t>
      </w:r>
    </w:p>
    <w:p w:rsidR="00000000" w:rsidDel="00000000" w:rsidP="00000000" w:rsidRDefault="00000000" w:rsidRPr="00000000" w14:paraId="000000D2">
      <w:pPr>
        <w:rPr>
          <w:rFonts w:ascii="Arial" w:cs="Arial" w:eastAsia="Arial" w:hAnsi="Arial"/>
          <w:b w:val="1"/>
          <w:bCs w:val="1"/>
          <w:color w:val="000000"/>
          <w:sz w:val="24"/>
          <w:szCs w:val="24"/>
        </w:rPr>
      </w:pPr>
      <w:bookmarkStart w:colFirst="0" w:colLast="0" w:name="_heading=h.rsmvvf8calce" w:id="0"/>
      <w:bookmarkEnd w:id="0"/>
      <w:r w:rsidDel="00000000" w:rsidR="00000000" w:rsidRPr="00000000">
        <w:rPr>
          <w:rFonts w:ascii="Arial" w:cs="Arial" w:eastAsia="Arial" w:hAnsi="Arial"/>
          <w:b w:val="1"/>
          <w:bCs w:val="1"/>
          <w:color w:val="000000"/>
          <w:sz w:val="24"/>
          <w:szCs w:val="24"/>
          <w:rtl w:val="0"/>
        </w:rPr>
        <w:t xml:space="preserve">Revisado: José Guillermo Ruiz Rodríguez</w:t>
      </w:r>
    </w:p>
    <w:p w:rsidR="00000000" w:rsidDel="00000000" w:rsidP="00000000" w:rsidRDefault="00000000" w:rsidRPr="00000000" w14:paraId="000000D3">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4">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5">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6">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7">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8">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9">
      <w:pPr>
        <w:jc w:val="cente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A">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B">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C">
      <w:pPr>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D">
      <w:pPr>
        <w:jc w:val="center"/>
        <w:rPr>
          <w:rFonts w:ascii="Arial" w:cs="Arial" w:eastAsia="Arial" w:hAnsi="Arial"/>
          <w:color w:val="ff0000"/>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tl w:val="0"/>
      </w:rPr>
      <w:t xml:space="preserve">Página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ff0000"/>
        <w:sz w:val="24"/>
        <w:szCs w:val="24"/>
      </w:rPr>
    </w:pPr>
    <w:r w:rsidDel="00000000" w:rsidR="00000000" w:rsidRPr="00000000">
      <w:rPr>
        <w:rtl w:val="0"/>
      </w:rPr>
    </w:r>
  </w:p>
  <w:tbl>
    <w:tblPr>
      <w:tblStyle w:val="Table4"/>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19052</wp:posOffset>
                </wp:positionH>
                <wp:positionV relativeFrom="paragraph">
                  <wp:posOffset>-12698</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Formato Plantilla Protocolo clínicos de Tele salud </w:t>
          </w:r>
        </w:p>
      </w:tc>
    </w:tr>
    <w:tr>
      <w:trPr>
        <w:cantSplit w:val="0"/>
        <w:trHeight w:val="372" w:hRule="atLeast"/>
        <w:tblHeader w:val="0"/>
      </w:trPr>
      <w:tc>
        <w:tcPr>
          <w:vMerge w:val="continue"/>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4"/>
              <w:szCs w:val="24"/>
            </w:rPr>
          </w:pPr>
          <w:r w:rsidDel="00000000" w:rsidR="00000000" w:rsidRPr="00000000">
            <w:rPr>
              <w:rtl w:val="0"/>
            </w:rPr>
          </w:r>
        </w:p>
      </w:tc>
      <w:tc>
        <w:tcPr>
          <w:gridSpan w:val="3"/>
          <w:vAlign w:val="center"/>
        </w:tcPr>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Código: IN-FR-87</w:t>
          </w:r>
        </w:p>
      </w:tc>
      <w:tc>
        <w:tcP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Vigente desde: 2025-06-25</w:t>
          </w:r>
        </w:p>
      </w:tc>
      <w:tc>
        <w:tcP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Versión: 001</w:t>
          </w:r>
        </w:p>
      </w:tc>
    </w:tr>
  </w:tbl>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62626"/>
      <w:sz w:val="32"/>
      <w:szCs w:val="32"/>
    </w:rPr>
  </w:style>
  <w:style w:type="paragraph" w:styleId="Heading2">
    <w:name w:val="heading 2"/>
    <w:basedOn w:val="Normal"/>
    <w:next w:val="Normal"/>
    <w:pPr>
      <w:keepNext w:val="1"/>
      <w:keepLines w:val="1"/>
      <w:spacing w:after="0" w:before="40" w:lineRule="auto"/>
    </w:pPr>
    <w:rPr>
      <w:color w:val="262626"/>
      <w:sz w:val="28"/>
      <w:szCs w:val="28"/>
    </w:rPr>
  </w:style>
  <w:style w:type="paragraph" w:styleId="Heading3">
    <w:name w:val="heading 3"/>
    <w:basedOn w:val="Normal"/>
    <w:next w:val="Normal"/>
    <w:pPr>
      <w:keepNext w:val="1"/>
      <w:keepLines w:val="1"/>
      <w:spacing w:after="0" w:before="40" w:lineRule="auto"/>
    </w:pPr>
    <w:rPr>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8KhZ8bE5PTBGUqQj9sf9Eskaq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cnNtdnZmOGNhbGNlOAByITFyZmp0MERMNWJxcHBtbUROdC1FQnZQSjIxMEhuZU56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