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Introducción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Trombosis Venosa Profunda (TVP) es una enfermedad crónica con una alta tasa de recurrencia en el mediano y largo plazo. A diferencia del primer episodio de enfermedad </w:t>
      </w:r>
      <w:r w:rsidDel="00000000" w:rsidR="00000000" w:rsidRPr="00000000">
        <w:rPr>
          <w:rFonts w:ascii="Arial" w:cs="Arial" w:eastAsia="Arial" w:hAnsi="Arial"/>
          <w:sz w:val="24"/>
          <w:szCs w:val="24"/>
          <w:rtl w:val="0"/>
        </w:rPr>
        <w:t xml:space="preserve">tromboembólica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venosa (ETV), la TVP recurrente no cuenta con algoritmos diagnósticos universalmente validados, lo que exige un juicio clínico individualizado y experto. Aunque el tratamiento anticoagulante reduce el riesgo de recurrencia en más de un 80%, el riesgo basal persiste una vez se suspende la terapia, fundamentando la necesidad de evaluar esquemas extendidos o indefinidos. La implementación de la modalidad de tele-experticia permite conectar de forma ágil la atención primaria con la especializada, optimizando la toma de decisiones clínicas críticas y previniendo tanto el sobre diagnóstico (anticoagulación innecesaria y riesgo de sangrado) como el subdiagnóstico (riesgo de embolia pulmonar o progresión).</w:t>
      </w:r>
    </w:p>
    <w:p w:rsidR="00000000" w:rsidDel="00000000" w:rsidP="00000000" w:rsidRDefault="00000000" w:rsidRPr="00000000" w14:paraId="00000003">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General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los lineamientos operativos, asistenciales y clínicos para la atención por tele-experticia ambulatoria en pacientes con trombosis venosa profunda (TVP) recurrente en el primer y segundo nivel de atención, apoyando de manera oportuna las decisiones sobre diagnóstico, estratificación del riesgo, selección y duración del tratamiento anticoagulante, y criterios de remisión a hematología u otras especialidades.</w:t>
      </w:r>
    </w:p>
    <w:p w:rsidR="00000000" w:rsidDel="00000000" w:rsidP="00000000" w:rsidRDefault="00000000" w:rsidRPr="00000000" w14:paraId="00000005">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Objetivos Específicos</w:t>
      </w:r>
    </w:p>
    <w:p w:rsidR="00000000" w:rsidDel="00000000" w:rsidP="00000000" w:rsidRDefault="00000000" w:rsidRPr="00000000" w14:paraId="000000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Estandarizar el proceso operativo de solicitud, validación, respuesta y registro de tele-experticia en TVP recurrente.</w:t>
      </w:r>
    </w:p>
    <w:p w:rsidR="00000000" w:rsidDel="00000000" w:rsidP="00000000" w:rsidRDefault="00000000" w:rsidRPr="00000000" w14:paraId="000000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Orientar la toma de decisiones clínicas basadas en la evidencia científica respecto a la estratificación del riesgo, la elección del agente anticoagulante (DOACs vs. AVK) y el manejo del Síndrome Postrombótico (SPT).</w:t>
      </w:r>
    </w:p>
    <w:p w:rsidR="00000000" w:rsidDel="00000000" w:rsidP="00000000" w:rsidRDefault="00000000" w:rsidRPr="00000000" w14:paraId="000000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criterios explícitos de inclusión, exclusión y remisión presencial a subespecialidades.</w:t>
      </w:r>
    </w:p>
    <w:p w:rsidR="00000000" w:rsidDel="00000000" w:rsidP="00000000" w:rsidRDefault="00000000" w:rsidRPr="00000000" w14:paraId="000000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Asignar roles, responsabilidades y tiempos de respuesta específicos para cada actor involucrado, garantizando la trazabilidad, seguridad y calidad de la atención.</w:t>
      </w:r>
    </w:p>
    <w:p w:rsidR="00000000" w:rsidDel="00000000" w:rsidP="00000000" w:rsidRDefault="00000000" w:rsidRPr="00000000" w14:paraId="0000000A">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Alcance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protocolo aplica a los médicos generales, personal de enfermería, especialistas interconsultores (expertos), coordinadores del programa y equipos de soporte tecnológico y de calidad de los niveles de atención 1 y 2, encargados de la atención ambulatoria programada de pacientes con sospecha o diagnóstico confirmado de TVP recurrente.</w:t>
      </w:r>
    </w:p>
    <w:p w:rsidR="00000000" w:rsidDel="00000000" w:rsidP="00000000" w:rsidRDefault="00000000" w:rsidRPr="00000000" w14:paraId="0000000C">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Marco Normativo</w:t>
      </w:r>
    </w:p>
    <w:p w:rsidR="00000000" w:rsidDel="00000000" w:rsidP="00000000" w:rsidRDefault="00000000" w:rsidRPr="00000000" w14:paraId="0000000D">
      <w:pPr>
        <w:pStyle w:val="Heading3"/>
        <w:rPr>
          <w:rFonts w:ascii="Arial" w:cs="Arial" w:eastAsia="Arial" w:hAnsi="Arial"/>
        </w:rPr>
      </w:pPr>
      <w:r w:rsidDel="00000000" w:rsidR="00000000" w:rsidRPr="00000000">
        <w:rPr>
          <w:rFonts w:ascii="Arial" w:cs="Arial" w:eastAsia="Arial" w:hAnsi="Arial"/>
          <w:rtl w:val="0"/>
        </w:rPr>
        <w:t xml:space="preserve">Normatividad General en Telesalud y Protección de Datos (Colombia)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2654 de 2019 (Min Salud):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Regula la tele salud y establece las disposiciones para la telemedicina en Colombia.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3100 de 2019 (Min Salud):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Define las condiciones y los estándares de habilitación para prestadores de servicios de salud, incluyendo la modalidad de telemedicina.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Ley 1419 de 2010: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Establece los lineamientos de la Política Nacional de Telesalud en Colombia.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Ley 1581 de 2012: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Marco estatutario para la Protección de Datos Personales, aplicable de forma estricta al manejo de historias clínicas y datos sensibles en tele salud.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Decreto 538 de 2020: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Establece medidas en telemedicina en el marco de emergencias sanitarias y flexibilización del acceso a servicios.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3280 de 2018 (Min Salud):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Adopta los lineamientos técnicos y operativos de las Rutas Integrales de Atención en Salud (RIAS).</w:t>
      </w:r>
    </w:p>
    <w:p w:rsidR="00000000" w:rsidDel="00000000" w:rsidP="00000000" w:rsidRDefault="00000000" w:rsidRPr="00000000" w14:paraId="00000014">
      <w:pPr>
        <w:pStyle w:val="Heading3"/>
        <w:rPr>
          <w:rFonts w:ascii="Arial" w:cs="Arial" w:eastAsia="Arial" w:hAnsi="Arial"/>
          <w:b w:val="1"/>
          <w:bCs w:val="1"/>
        </w:rPr>
      </w:pPr>
      <w:r w:rsidDel="00000000" w:rsidR="00000000" w:rsidRPr="00000000">
        <w:rPr>
          <w:rFonts w:ascii="Arial" w:cs="Arial" w:eastAsia="Arial" w:hAnsi="Arial"/>
          <w:b w:val="1"/>
          <w:bCs w:val="1"/>
          <w:rtl w:val="0"/>
        </w:rPr>
        <w:t xml:space="preserve">Normatividad y Guías Clínicas de Soporte Especializado</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Guías de la American Society of Hematology (ASH) 2020–2023: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Referente internacional para el diagnóstico y manejo de la Trombosis Venosa Profunda, Embolia Pulmonar y tamizaje de trombofilias.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Consenso Kearon C &amp; Kahn SR (Blood 2020):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Guía fundamental para la estratificación del riesgo a largo plazo y definición de la duración extendida de la anticoagulación.</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Algoritmo Kyrle PA (Blood 2016):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Guía clínica base para el abordaje y diagnóstico diferencial de la TVP recurrente.</w:t>
      </w:r>
    </w:p>
    <w:p w:rsidR="00000000" w:rsidDel="00000000" w:rsidP="00000000" w:rsidRDefault="00000000" w:rsidRPr="00000000" w14:paraId="00000018">
      <w:pPr>
        <w:pStyle w:val="Heading2"/>
        <w:rPr>
          <w:rFonts w:ascii="Arial" w:cs="Arial" w:eastAsia="Arial" w:hAnsi="Arial"/>
          <w:b w:val="1"/>
          <w:bCs w:val="1"/>
          <w:sz w:val="24"/>
          <w:szCs w:val="24"/>
        </w:rPr>
      </w:pPr>
      <w:bookmarkStart w:colFirst="0" w:colLast="0" w:name="_heading=h.68el4ecvj6mo" w:id="0"/>
      <w:bookmarkEnd w:id="0"/>
      <w:r w:rsidDel="00000000" w:rsidR="00000000" w:rsidRPr="00000000">
        <w:rPr>
          <w:rFonts w:ascii="Arial" w:cs="Arial" w:eastAsia="Arial" w:hAnsi="Arial"/>
          <w:b w:val="1"/>
          <w:bCs w:val="1"/>
          <w:sz w:val="24"/>
          <w:szCs w:val="24"/>
          <w:rtl w:val="0"/>
        </w:rPr>
        <w:t xml:space="preserve">Definiciones</w:t>
      </w:r>
    </w:p>
    <w:p w:rsidR="00000000" w:rsidDel="00000000" w:rsidP="00000000" w:rsidRDefault="00000000" w:rsidRPr="00000000" w14:paraId="00000019">
      <w:pPr>
        <w:pStyle w:val="Heading3"/>
        <w:rPr>
          <w:rFonts w:ascii="Arial" w:cs="Arial" w:eastAsia="Arial" w:hAnsi="Arial"/>
        </w:rPr>
      </w:pPr>
      <w:r w:rsidDel="00000000" w:rsidR="00000000" w:rsidRPr="00000000">
        <w:rPr>
          <w:rFonts w:ascii="Arial" w:cs="Arial" w:eastAsia="Arial" w:hAnsi="Arial"/>
          <w:rtl w:val="0"/>
        </w:rPr>
        <w:t xml:space="preserve">Términos de Telesalud y Telemedicina</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Telesalud: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Conjunto de actividades relacionadas con la salud, servicios y métodos, los cuales se llevan a cabo a distancia con la ayuda de las tecnologías de la información y las telecomunicaciones (TIC). Incluye la telemedicina, teleeducación, entre otras.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 apoyo: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Soporte solicitado por un profesional de la salud a otro profesional de la salud a través de TIC, en el marco del relacionamiento entre prestadores.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Relación a distancia con método de comunicación sincrónico o asincrónico para la provisión de servicios de salud utilizando TIC entre:</w:t>
      </w:r>
    </w:p>
    <w:p w:rsidR="00000000" w:rsidDel="00000000" w:rsidP="00000000" w:rsidRDefault="00000000" w:rsidRPr="00000000" w14:paraId="000000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Dos profesionales de la salud (uno presencial con el usuario y un experto a distancia). El profesional presencial es el responsable directo del tratamiento y el experto actúa como asesor.</w:t>
      </w:r>
    </w:p>
    <w:p w:rsidR="00000000" w:rsidDel="00000000" w:rsidP="00000000" w:rsidRDefault="00000000" w:rsidRPr="00000000" w14:paraId="000000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Profesionales de la salud en junta médica (interconsulta o asesoría).</w:t>
      </w:r>
    </w:p>
    <w:p w:rsidR="00000000" w:rsidDel="00000000" w:rsidP="00000000" w:rsidRDefault="00000000" w:rsidRPr="00000000" w14:paraId="000000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Personal de salud no profesional que solicita apoyo a un profesional para la toma de decisiones clínicas.</w:t>
      </w:r>
    </w:p>
    <w:p w:rsidR="00000000" w:rsidDel="00000000" w:rsidP="00000000" w:rsidRDefault="00000000" w:rsidRPr="00000000" w14:paraId="00000020">
      <w:pPr>
        <w:pStyle w:val="Heading3"/>
        <w:rPr>
          <w:rFonts w:ascii="Arial" w:cs="Arial" w:eastAsia="Arial" w:hAnsi="Arial"/>
        </w:rPr>
      </w:pPr>
      <w:r w:rsidDel="00000000" w:rsidR="00000000" w:rsidRPr="00000000">
        <w:rPr>
          <w:rFonts w:ascii="Arial" w:cs="Arial" w:eastAsia="Arial" w:hAnsi="Arial"/>
          <w:rtl w:val="0"/>
        </w:rPr>
        <w:t xml:space="preserve">Términos Clínicos Especializados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TVP Recurrente: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Nuevo episodio de trombosis venosa profunda confirmado por imágenes diagnósticas en un paciente con antecedente de TVP previa, ya sea ipsilateral (mismo segmento) o contralateral.</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TVP Provocada: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Episodio asociado a un factor de riesgo mayor transitorio (cirugía </w:t>
      </w:r>
      <w:r w:rsidDel="00000000" w:rsidR="00000000" w:rsidRPr="00000000">
        <w:rPr>
          <w:rFonts w:ascii="Arial" w:cs="Arial" w:eastAsia="Arial" w:hAnsi="Arial"/>
          <w:sz w:val="24"/>
          <w:szCs w:val="24"/>
          <w:rtl w:val="0"/>
        </w:rPr>
        <w:t xml:space="preserve">&gt;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30</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minutos, hospitalización </w:t>
      </w:r>
      <w:r w:rsidDel="00000000" w:rsidR="00000000" w:rsidRPr="00000000">
        <w:rPr>
          <w:rFonts w:ascii="Arial" w:cs="Arial" w:eastAsia="Arial" w:hAnsi="Arial"/>
          <w:sz w:val="24"/>
          <w:szCs w:val="24"/>
          <w:rtl w:val="0"/>
        </w:rPr>
        <w:t xml:space="preserve">&gt;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 días, trauma, inmovilidad prolongada) o menor transitorio (anticonceptivos orales/estrógenos, viajes prolongados, lesión leve de pierna).</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TVP</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No Provocada: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Episodio de TVP que ocurre en ausencia de factores de riesgo transitorios identificables. Presenta un riesgo elevado de recurrencia (~30% a 5 años sin tratamiento).</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DOACs (Anticoagulantes Orales de Acción Directa):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Medicamentos inhibidores específicos de factores de la coagulación como el factor Xa (apixabán, </w:t>
      </w:r>
      <w:r w:rsidDel="00000000" w:rsidR="00000000" w:rsidRPr="00000000">
        <w:rPr>
          <w:rFonts w:ascii="Arial" w:cs="Arial" w:eastAsia="Arial" w:hAnsi="Arial"/>
          <w:sz w:val="24"/>
          <w:szCs w:val="24"/>
          <w:rtl w:val="0"/>
        </w:rPr>
        <w:t xml:space="preserve">rivaroxaban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apixaban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la trombina (dabigatrán).</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AVK (Antagonistas de la Vitamina 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Moduladores como la warfarina que requieren monitoreo estrecho mediante el Ratio Internacional Normalizado (INR). Son el tratamiento de elección en afecciones complejas como el Síndrome Antifosfolipídico triple positivo.</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Síndrome Antifosfolipídico (SAF):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Enfermedad autoinmune caracterizada por trombosis recurrentes (arteriales o venosas) y presencia persistente de anticuerpos antifosfolipídicos. Requiere anticoagulación indefinida.</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Síndrome Postrombótico (SPT):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Complicación crónica de la TVP producida por hipertensión venosa secundaria a la destrucción valvular o reflujo. Se cuantifica clínicamente mediante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Escala de Villalta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(\geq 5</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puntos indica presencia de SPT; \geq 15 puntos o presencia de úlcera indica severidad).</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Ultrasonografía de Compresión (CUS) de pierna completa: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Estándar de oro para el diagnóstico de TVP. La incompresibilidad de un nuevo segmento venoso o el incremento de \geq 4\text{ mm} en el diámetro basal del trombo residual en CUS previas confirma la recurrencia ipsilateral.</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D-Dímero: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Producto de la degradación de la fibrina. Tiene valor predictivo negativo alto; su uso es coadyuvante y sirve principalmente en la evaluación tras la suspensión del tratamiento anticoagulante o si existe baja probabilidad clínica inicial.</w:t>
      </w:r>
    </w:p>
    <w:p w:rsidR="00000000" w:rsidDel="00000000" w:rsidP="00000000" w:rsidRDefault="00000000" w:rsidRPr="00000000" w14:paraId="0000002A">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Flujo Operativo y Clínico en Telesalud</w:t>
      </w:r>
    </w:p>
    <w:tbl>
      <w:tblPr>
        <w:tblStyle w:val="Table1"/>
        <w:tblW w:w="8822.0" w:type="dxa"/>
        <w:jc w:val="left"/>
        <w:tblLayout w:type="fixed"/>
        <w:tblLook w:val="0400"/>
      </w:tblPr>
      <w:tblGrid>
        <w:gridCol w:w="1025"/>
        <w:gridCol w:w="2131"/>
        <w:gridCol w:w="1793"/>
        <w:gridCol w:w="3873"/>
        <w:tblGridChange w:id="0">
          <w:tblGrid>
            <w:gridCol w:w="1025"/>
            <w:gridCol w:w="2131"/>
            <w:gridCol w:w="1793"/>
            <w:gridCol w:w="3873"/>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B">
            <w:pPr>
              <w:spacing w:after="48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Etapa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C">
            <w:pPr>
              <w:spacing w:after="48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Actividad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D">
            <w:pPr>
              <w:spacing w:after="48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Responsable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E">
            <w:pPr>
              <w:spacing w:after="48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Acción / Herramienta</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F">
            <w:pPr>
              <w:spacing w:after="4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0">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Identificación de necesidad de tele-experticia.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1">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 (Médico general / Enfermería)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2">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Sospecha clínica de TVP recurrente o necesidad de reevaluación del tratamiento anticoagulante extendido.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3">
            <w:pPr>
              <w:spacing w:after="4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4">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requisitos clínicos y consentimiento informado.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5">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 (Institución origen)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6">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de criterios de inclusión/exclusión y firma de consentimiento informado para el uso de medios tecnológicos y datos de salud.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7">
            <w:pPr>
              <w:spacing w:after="4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8">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Diligenciamiento de solicitud y envío de datos clínicos básicos.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9">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A">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Registro y envío de resumen clínico, resultados de CUS, laboratorios, función renal a través de los canales institucionales: </w:t>
            </w:r>
            <w:r w:rsidDel="00000000" w:rsidR="00000000" w:rsidRPr="00000000">
              <w:rPr>
                <w:rFonts w:ascii="Arial" w:cs="Arial" w:eastAsia="Arial" w:hAnsi="Arial"/>
                <w:b w:val="1"/>
                <w:bCs w:val="1"/>
                <w:sz w:val="24"/>
                <w:szCs w:val="24"/>
                <w:rtl w:val="0"/>
              </w:rPr>
              <w:t xml:space="preserve">3228234549 - 3228234532</w:t>
            </w:r>
            <w:r w:rsidDel="00000000" w:rsidR="00000000" w:rsidRPr="00000000">
              <w:rPr>
                <w:rFonts w:ascii="Arial" w:cs="Arial" w:eastAsia="Arial" w:hAnsi="Arial"/>
                <w:sz w:val="24"/>
                <w:szCs w:val="24"/>
                <w:rtl w:val="0"/>
              </w:rPr>
              <w:t xml:space="preserve"> y al correo </w:t>
            </w:r>
            <w:r w:rsidDel="00000000" w:rsidR="00000000" w:rsidRPr="00000000">
              <w:rPr>
                <w:rFonts w:ascii="Arial" w:cs="Arial" w:eastAsia="Arial" w:hAnsi="Arial"/>
                <w:b w:val="1"/>
                <w:bCs w:val="1"/>
                <w:sz w:val="24"/>
                <w:szCs w:val="24"/>
                <w:rtl w:val="0"/>
              </w:rPr>
              <w:t xml:space="preserve">telemedicina.digital@hun.edu.co</w:t>
            </w:r>
            <w:r w:rsidDel="00000000" w:rsidR="00000000" w:rsidRPr="00000000">
              <w:rPr>
                <w:rFonts w:ascii="Arial" w:cs="Arial" w:eastAsia="Arial" w:hAnsi="Arial"/>
                <w:sz w:val="24"/>
                <w:szCs w:val="24"/>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B">
            <w:pPr>
              <w:spacing w:after="4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C">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Recepción, validación de pertinencia y cargue de información.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D">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Personal de soporte tecnológico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E">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administrativa e indexación formal de los soportes clínicos en el sistema </w:t>
            </w:r>
            <w:r w:rsidDel="00000000" w:rsidR="00000000" w:rsidRPr="00000000">
              <w:rPr>
                <w:rFonts w:ascii="Arial" w:cs="Arial" w:eastAsia="Arial" w:hAnsi="Arial"/>
                <w:b w:val="1"/>
                <w:bCs w:val="1"/>
                <w:sz w:val="24"/>
                <w:szCs w:val="24"/>
                <w:rtl w:val="0"/>
              </w:rPr>
              <w:t xml:space="preserve">Hosvital</w:t>
            </w:r>
            <w:r w:rsidDel="00000000" w:rsidR="00000000" w:rsidRPr="00000000">
              <w:rPr>
                <w:rFonts w:ascii="Arial" w:cs="Arial" w:eastAsia="Arial" w:hAnsi="Arial"/>
                <w:sz w:val="24"/>
                <w:szCs w:val="24"/>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F">
            <w:pPr>
              <w:spacing w:after="4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0">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Análisis profundo del caso y emisión del concepto clínico.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1">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 (Hematólogo / Internista interconsultor)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2">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clínica-epidemiológica y registro formal del concepto técnico en la historia clínica del sistema </w:t>
            </w:r>
            <w:r w:rsidDel="00000000" w:rsidR="00000000" w:rsidRPr="00000000">
              <w:rPr>
                <w:rFonts w:ascii="Arial" w:cs="Arial" w:eastAsia="Arial" w:hAnsi="Arial"/>
                <w:b w:val="1"/>
                <w:bCs w:val="1"/>
                <w:sz w:val="24"/>
                <w:szCs w:val="24"/>
                <w:rtl w:val="0"/>
              </w:rPr>
              <w:t xml:space="preserve">Hosvital</w:t>
            </w:r>
            <w:r w:rsidDel="00000000" w:rsidR="00000000" w:rsidRPr="00000000">
              <w:rPr>
                <w:rFonts w:ascii="Arial" w:cs="Arial" w:eastAsia="Arial" w:hAnsi="Arial"/>
                <w:sz w:val="24"/>
                <w:szCs w:val="24"/>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3">
            <w:pPr>
              <w:spacing w:after="4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4">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Envío de ordenamiento y recomendaciones finales.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5">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 / Coordinación de Telesalud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6">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Notificación y remisión del concepto y órdenes médicas al centro de origen a través del correo electrónico corporativo seguro.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7">
            <w:pPr>
              <w:spacing w:after="4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8">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Implementación y registro de conducta definitiva.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9">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 (Centro Remisor)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A">
            <w:pP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del plan clínico al paciente en su consulta de control, registro de trazabilidad en historia clínica de origen y agendamiento de seguimiento.</w:t>
            </w:r>
          </w:p>
        </w:tc>
      </w:tr>
    </w:tbl>
    <w:p w:rsidR="00000000" w:rsidDel="00000000" w:rsidP="00000000" w:rsidRDefault="00000000" w:rsidRPr="00000000" w14:paraId="0000004B">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Inclusión / Exclusión y Remisión en Telesalud</w:t>
      </w:r>
    </w:p>
    <w:p w:rsidR="00000000" w:rsidDel="00000000" w:rsidP="00000000" w:rsidRDefault="00000000" w:rsidRPr="00000000" w14:paraId="0000004C">
      <w:pPr>
        <w:pStyle w:val="Heading3"/>
        <w:rPr>
          <w:rFonts w:ascii="Arial" w:cs="Arial" w:eastAsia="Arial" w:hAnsi="Arial"/>
        </w:rPr>
      </w:pPr>
      <w:r w:rsidDel="00000000" w:rsidR="00000000" w:rsidRPr="00000000">
        <w:rPr>
          <w:rFonts w:ascii="Arial" w:cs="Arial" w:eastAsia="Arial" w:hAnsi="Arial"/>
          <w:rtl w:val="0"/>
        </w:rPr>
        <w:t xml:space="preserve">Criterios de Inclusión</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sospecha o confirmación clínica/imaginológica de TVP recurrente.</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que se encuentran bajo tratamiento anticoagulante en fase extendida y requieran definir su continuidad, ajuste de dosis o suspensión del fármaco.</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Casos con sospecha de complicaciones crónicas asociadas (Síndrome Postrombótico calificado mediante Escala de Villalta) o condiciones concomitantes que alteren la hemostasia (falla renal, cáncer activo, sospecha de SAF).</w:t>
      </w:r>
    </w:p>
    <w:p w:rsidR="00000000" w:rsidDel="00000000" w:rsidP="00000000" w:rsidRDefault="00000000" w:rsidRPr="00000000" w14:paraId="00000050">
      <w:pPr>
        <w:pStyle w:val="Heading3"/>
        <w:rPr>
          <w:rFonts w:ascii="Arial" w:cs="Arial" w:eastAsia="Arial" w:hAnsi="Arial"/>
        </w:rPr>
      </w:pPr>
      <w:r w:rsidDel="00000000" w:rsidR="00000000" w:rsidRPr="00000000">
        <w:rPr>
          <w:rFonts w:ascii="Arial" w:cs="Arial" w:eastAsia="Arial" w:hAnsi="Arial"/>
          <w:rtl w:val="0"/>
        </w:rPr>
        <w:t xml:space="preserve">Criterios de Exclusión</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que cursen con inestabilidad hemodinámica o alta sospecha clínica de Embolia Pulmonar (EP) masiva o de alto riesgo que requieran reanimación inmediata.</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Casos con indicación absoluta de intervencionismo inmediato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trombólisis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endovenosa, trombectomía quirúrgica o colocación urgente de filtro de vena cava inferior).</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Ausencia técnica o imposibilidad absoluta de conectividad en el centro de origen o falta de paraclínicos mínimos necesarios para emitir un concepto seguro.</w:t>
      </w:r>
    </w:p>
    <w:p w:rsidR="00000000" w:rsidDel="00000000" w:rsidP="00000000" w:rsidRDefault="00000000" w:rsidRPr="00000000" w14:paraId="00000054">
      <w:pPr>
        <w:pStyle w:val="Heading3"/>
        <w:rPr>
          <w:rFonts w:ascii="Arial" w:cs="Arial" w:eastAsia="Arial" w:hAnsi="Arial"/>
        </w:rPr>
      </w:pPr>
      <w:r w:rsidDel="00000000" w:rsidR="00000000" w:rsidRPr="00000000">
        <w:rPr>
          <w:rFonts w:ascii="Arial" w:cs="Arial" w:eastAsia="Arial" w:hAnsi="Arial"/>
          <w:rtl w:val="0"/>
        </w:rPr>
        <w:t xml:space="preserve">Criterios Clínicos de Remisión Directa a Subespecialidad Presencial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profesional solicitante, apoyado bajo el dictamen e indicación del profesional experto de tele-experticia, priorizará la remisión presencial en los siguientes escenarios:</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Segundo episodio de </w:t>
      </w:r>
      <w:r w:rsidDel="00000000" w:rsidR="00000000" w:rsidRPr="00000000">
        <w:rPr>
          <w:rFonts w:ascii="Arial" w:cs="Arial" w:eastAsia="Arial" w:hAnsi="Arial"/>
          <w:b w:val="1"/>
          <w:bCs w:val="1"/>
          <w:sz w:val="24"/>
          <w:szCs w:val="24"/>
          <w:rtl w:val="0"/>
        </w:rPr>
        <w:t xml:space="preserve">TEV</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no </w:t>
      </w:r>
      <w:r w:rsidDel="00000000" w:rsidR="00000000" w:rsidRPr="00000000">
        <w:rPr>
          <w:rFonts w:ascii="Arial" w:cs="Arial" w:eastAsia="Arial" w:hAnsi="Arial"/>
          <w:b w:val="1"/>
          <w:bCs w:val="1"/>
          <w:sz w:val="24"/>
          <w:szCs w:val="24"/>
          <w:rtl w:val="0"/>
        </w:rPr>
        <w:t xml:space="preserve">provocado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estudio profundo de trombofilias complejas e impacto familiar.</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Sospecha o confirmación de Síndrome Antifosfolipídico (SAF)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especialmente perfiles triple-positivos o con trombosis arterial previa.</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Falla terapéutica documentada: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Aparición de una nueva trombosis venosa a pesar de mantener niveles óptimos de INR (con warfarina) o adherencia confirmada a dosis plenas de DOACs, orientando la búsqueda activa de neoplasias ocultas.</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Sospecha de patología de base hematológica clonal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como síndrome mieloproliferativo o Hemoglobinuria Paroxística Nocturna (HPN).</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Síndrome Postrombótico grave (Escala de Villalta $\geq 15$ o úlcera venosa activa):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Requiere direccionamiento presencial prioritario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Cirugía Vascular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Sospecha de Hipertensión Pulmonar Tromboembólica Crónica (HPTEC)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pacientes con antecedente de EP y disnea persistente mayor a 3 meses.</w:t>
      </w:r>
    </w:p>
    <w:p w:rsidR="00000000" w:rsidDel="00000000" w:rsidP="00000000" w:rsidRDefault="00000000" w:rsidRPr="00000000" w14:paraId="0000005C">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Roles y Responsabilidades en Telesalud</w:t>
      </w:r>
    </w:p>
    <w:p w:rsidR="00000000" w:rsidDel="00000000" w:rsidP="00000000" w:rsidRDefault="00000000" w:rsidRPr="00000000" w14:paraId="0000005D">
      <w:pPr>
        <w:pStyle w:val="Heading3"/>
        <w:rPr>
          <w:rFonts w:ascii="Arial" w:cs="Arial" w:eastAsia="Arial" w:hAnsi="Arial"/>
        </w:rPr>
      </w:pPr>
      <w:r w:rsidDel="00000000" w:rsidR="00000000" w:rsidRPr="00000000">
        <w:rPr>
          <w:rFonts w:ascii="Arial" w:cs="Arial" w:eastAsia="Arial" w:hAnsi="Arial"/>
          <w:rtl w:val="0"/>
        </w:rPr>
        <w:t xml:space="preserve">Profesional Solicitante (Centro Remisor)</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Generar de manera formal la solicitud de interconsulta por tele-experticia.</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Brindar información clínica clara, estructurada, completa y pertinente en la solicitud (anamnesis, uso de anticoagulantes previos, función renal y reporte de CUS).</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Diligenciar y asegurar la firma del consentimiento informado por parte del paciente para la modalidad de telemedicina y el tratamiento de sus datos.</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Ejecutar con celeridad las recomendaciones farmacológicas y de seguimiento emitidas en el concepto del experto.</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cronológicamente en la historia clínica del paciente la solicitud, el concepto técnico recibido y las conductas adoptadas.</w:t>
      </w:r>
    </w:p>
    <w:p w:rsidR="00000000" w:rsidDel="00000000" w:rsidP="00000000" w:rsidRDefault="00000000" w:rsidRPr="00000000" w14:paraId="00000063">
      <w:pPr>
        <w:pStyle w:val="Heading3"/>
        <w:rPr>
          <w:rFonts w:ascii="Arial" w:cs="Arial" w:eastAsia="Arial" w:hAnsi="Arial"/>
          <w:b w:val="1"/>
          <w:bCs w:val="1"/>
        </w:rPr>
      </w:pPr>
      <w:r w:rsidDel="00000000" w:rsidR="00000000" w:rsidRPr="00000000">
        <w:rPr>
          <w:rFonts w:ascii="Arial" w:cs="Arial" w:eastAsia="Arial" w:hAnsi="Arial"/>
          <w:b w:val="1"/>
          <w:bCs w:val="1"/>
          <w:rtl w:val="0"/>
        </w:rPr>
        <w:t xml:space="preserve">Profesional Experto (Centro Referente)</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Analizar de forma exhaustiva la información clínica enviada por el centro remisor.</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Emitir un concepto técnico-clínico con directrices claras basadas en la mejor evidencia científica disponible (estratificación de riesgo, fármaco idóneo, dosis y duración de la terapia).</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de forma completa, con firma, fecha y hora el concepto médico en el sistema de historia clínica institucional.</w:t>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Respetar con rigurosidad los tiempos de respuesta estipulados por el nivel de urgencia clínica.</w:t>
      </w:r>
    </w:p>
    <w:p w:rsidR="00000000" w:rsidDel="00000000" w:rsidP="00000000" w:rsidRDefault="00000000" w:rsidRPr="00000000" w14:paraId="00000068">
      <w:pPr>
        <w:pStyle w:val="Heading3"/>
        <w:rPr>
          <w:rFonts w:ascii="Arial" w:cs="Arial" w:eastAsia="Arial" w:hAnsi="Arial"/>
          <w:b w:val="1"/>
          <w:bCs w:val="1"/>
        </w:rPr>
      </w:pPr>
      <w:r w:rsidDel="00000000" w:rsidR="00000000" w:rsidRPr="00000000">
        <w:rPr>
          <w:rFonts w:ascii="Arial" w:cs="Arial" w:eastAsia="Arial" w:hAnsi="Arial"/>
          <w:b w:val="1"/>
          <w:bCs w:val="1"/>
          <w:rtl w:val="0"/>
        </w:rPr>
        <w:t xml:space="preserve">Equipo de Soporte Tecnológico y Coordinación</w:t>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la seguridad, alta disponibilidad, interoperabilidad y resguardo criptográfico de la información en las plataformas de telesalud, cumpliendo la Ley 1581 de 2012.</w:t>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Ofrecer asistencia técnica inmediata ante fallas de carga en el sistema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Hosvital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canales interactivos.</w:t>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Monitorizar la gestión del flujo, asignación de agendas de expertos y control del cumplimiento de los tiempos de oportunidad.</w:t>
      </w:r>
    </w:p>
    <w:p w:rsidR="00000000" w:rsidDel="00000000" w:rsidP="00000000" w:rsidRDefault="00000000" w:rsidRPr="00000000" w14:paraId="0000006C">
      <w:pPr>
        <w:pStyle w:val="Heading3"/>
        <w:rPr>
          <w:rFonts w:ascii="Arial" w:cs="Arial" w:eastAsia="Arial" w:hAnsi="Arial"/>
          <w:b w:val="1"/>
          <w:bCs w:val="1"/>
        </w:rPr>
      </w:pPr>
      <w:r w:rsidDel="00000000" w:rsidR="00000000" w:rsidRPr="00000000">
        <w:rPr>
          <w:rFonts w:ascii="Arial" w:cs="Arial" w:eastAsia="Arial" w:hAnsi="Arial"/>
          <w:b w:val="1"/>
          <w:bCs w:val="1"/>
          <w:rtl w:val="0"/>
        </w:rPr>
        <w:t xml:space="preserve">Personal de Enfermería</w:t>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la toma basal de signos vitales, verificar estrictamente la adherencia farmacológica a los anticoagulantes y pesquisar signos o síntomas tempranos de sangrado.</w:t>
      </w:r>
    </w:p>
    <w:p w:rsidR="00000000" w:rsidDel="00000000" w:rsidP="00000000" w:rsidRDefault="00000000" w:rsidRPr="00000000" w14:paraId="000000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Aplicar de forma sistemática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Escala de Villalta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los controles de enfermería para tamizar oportunamente el Síndrome Postrombótico.</w:t>
      </w:r>
    </w:p>
    <w:p w:rsidR="00000000" w:rsidDel="00000000" w:rsidP="00000000" w:rsidRDefault="00000000" w:rsidRPr="00000000" w14:paraId="000000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Organizar y preparar los expedientes clínicos y paraclínicos asegurando que la solicitud de tele-experticia cuente con los insumos informativos completos.</w:t>
      </w:r>
    </w:p>
    <w:p w:rsidR="00000000" w:rsidDel="00000000" w:rsidP="00000000" w:rsidRDefault="00000000" w:rsidRPr="00000000" w14:paraId="00000070">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Tiempos de Respuesta Sugeridos</w:t>
      </w:r>
    </w:p>
    <w:p w:rsidR="00000000" w:rsidDel="00000000" w:rsidP="00000000" w:rsidRDefault="00000000" w:rsidRPr="00000000" w14:paraId="000000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Emergencia Vital: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Atención y manejo presencial inmediato (Excluido de Tele-experticia ambulatoria convencional / Activar canal de urgencias).</w:t>
      </w:r>
    </w:p>
    <w:p w:rsidR="00000000" w:rsidDel="00000000" w:rsidP="00000000" w:rsidRDefault="00000000" w:rsidRPr="00000000" w14:paraId="000000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Urgencia Prioritaria: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Emisión de concepto en un tiempo máximo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hasta 30 minutos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Urgencia No Vital: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Emisión de concepto en un lapso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menor a 12 horas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Consulta Programada: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Respuesta a la solicitud en un periodo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menor a 8 días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5">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Estrategias de Humanización Digital y Diálogo Intercultural</w:t>
      </w:r>
    </w:p>
    <w:p w:rsidR="00000000" w:rsidDel="00000000" w:rsidP="00000000" w:rsidRDefault="00000000" w:rsidRPr="00000000" w14:paraId="000000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Explicación Asertiva: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profesional del centro remisor debe traducir las recomendaciones emitidas por el experto mediante tele-experticia a un lenguaje sencillo, claro, empático y libre de tecnicismos para el paciente y sus cuidadores.</w:t>
      </w:r>
    </w:p>
    <w:p w:rsidR="00000000" w:rsidDel="00000000" w:rsidP="00000000" w:rsidRDefault="00000000" w:rsidRPr="00000000" w14:paraId="000000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Diálogo Intercultural: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Respetar los contextos culturales, regionales o creencias populares de los pacientes del centro remisor respecto al manejo de su patología crónica. Se debe educar con calidez sobre los riesgos vitales del abandono de la anticoagulación sin invalidar sus costumbres, promoviendo un entorno de concertación médica seguro.</w:t>
      </w:r>
    </w:p>
    <w:p w:rsidR="00000000" w:rsidDel="00000000" w:rsidP="00000000" w:rsidRDefault="00000000" w:rsidRPr="00000000" w14:paraId="000000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Seguridad Psicológica: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Mitigar la frialdad tecnológica asegurándole al paciente que, a pesar de que el especialista evalúa su caso a través de una pantalla o de forma asincrónica, existe un equipo humano interdisciplinario respaldando directamente las decisiones sobre su salud.</w:t>
      </w:r>
    </w:p>
    <w:p w:rsidR="00000000" w:rsidDel="00000000" w:rsidP="00000000" w:rsidRDefault="00000000" w:rsidRPr="00000000" w14:paraId="00000079">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Indicadores de Calidad y Seguimiento</w:t>
      </w:r>
    </w:p>
    <w:p w:rsidR="00000000" w:rsidDel="00000000" w:rsidP="00000000" w:rsidRDefault="00000000" w:rsidRPr="00000000" w14:paraId="0000007A">
      <w:pPr>
        <w:rPr>
          <w:rFonts w:ascii="Arial" w:cs="Arial" w:eastAsia="Arial" w:hAnsi="Arial"/>
          <w:sz w:val="24"/>
          <w:szCs w:val="24"/>
        </w:rPr>
      </w:pPr>
      <w:r w:rsidDel="00000000" w:rsidR="00000000" w:rsidRPr="00000000">
        <w:rPr>
          <w:rFonts w:ascii="Arial" w:cs="Arial" w:eastAsia="Arial" w:hAnsi="Arial"/>
          <w:sz w:val="24"/>
          <w:szCs w:val="24"/>
          <w:rtl w:val="0"/>
        </w:rPr>
        <w:t xml:space="preserve">$$\text {Indicador 1: Calidad del Registro Inicial} = \left (\frac {\text {No. solicitudes de tele-experticia con clasificación documentada (provocada/no provocada, proximal/distal)}} {\text {Total de solicitudes de tele-experticia por TVP enviadas}} \right) \times 100 \quad [\text {Meta:} \geq 95\%]$$</w:t>
      </w:r>
    </w:p>
    <w:p w:rsidR="00000000" w:rsidDel="00000000" w:rsidP="00000000" w:rsidRDefault="00000000" w:rsidRPr="00000000" w14:paraId="0000007B">
      <w:pPr>
        <w:rPr>
          <w:rFonts w:ascii="Arial" w:cs="Arial" w:eastAsia="Arial" w:hAnsi="Arial"/>
          <w:sz w:val="24"/>
          <w:szCs w:val="24"/>
        </w:rPr>
      </w:pPr>
      <w:r w:rsidDel="00000000" w:rsidR="00000000" w:rsidRPr="00000000">
        <w:rPr>
          <w:rFonts w:ascii="Arial" w:cs="Arial" w:eastAsia="Arial" w:hAnsi="Arial"/>
          <w:sz w:val="24"/>
          <w:szCs w:val="24"/>
          <w:rtl w:val="0"/>
        </w:rPr>
        <w:t xml:space="preserve">$$\text {Indicador 2: Seguridad en Falla Terapéutica} = \left (\frac {\text {No. casos de nueva trombosis con verificación previa de adherencia o INR antes del cambio de fármaco}} {\text {Total de casos remitidos por falla terapéutica}} \right) \times 100 \quad [\text {Meta:} 100\%]$$</w:t>
      </w:r>
    </w:p>
    <w:p w:rsidR="00000000" w:rsidDel="00000000" w:rsidP="00000000" w:rsidRDefault="00000000" w:rsidRPr="00000000" w14:paraId="0000007C">
      <w:pPr>
        <w:rPr>
          <w:rFonts w:ascii="Arial" w:cs="Arial" w:eastAsia="Arial" w:hAnsi="Arial"/>
          <w:sz w:val="24"/>
          <w:szCs w:val="24"/>
        </w:rPr>
      </w:pPr>
      <w:r w:rsidDel="00000000" w:rsidR="00000000" w:rsidRPr="00000000">
        <w:rPr>
          <w:rFonts w:ascii="Arial" w:cs="Arial" w:eastAsia="Arial" w:hAnsi="Arial"/>
          <w:sz w:val="24"/>
          <w:szCs w:val="24"/>
          <w:rtl w:val="0"/>
        </w:rPr>
        <w:t xml:space="preserve">$$\text {Indicador 3: Continuidad Segura} = \left (\frac {\text {No. pacientes con indicación de anticoagulación indefinida con decisión explícita en HC}} {\text {Total de pacientes con criterios de anticoagulación indefinida atendidos}} \right) \times 100 \quad [\text {Meta:} \geq 95\%]$$</w:t>
      </w:r>
    </w:p>
    <w:p w:rsidR="00000000" w:rsidDel="00000000" w:rsidP="00000000" w:rsidRDefault="00000000" w:rsidRPr="00000000" w14:paraId="0000007D">
      <w:pPr>
        <w:rPr>
          <w:rFonts w:ascii="Arial" w:cs="Arial" w:eastAsia="Arial" w:hAnsi="Arial"/>
          <w:sz w:val="24"/>
          <w:szCs w:val="24"/>
        </w:rPr>
      </w:pPr>
      <w:r w:rsidDel="00000000" w:rsidR="00000000" w:rsidRPr="00000000">
        <w:rPr>
          <w:rFonts w:ascii="Arial" w:cs="Arial" w:eastAsia="Arial" w:hAnsi="Arial"/>
          <w:sz w:val="24"/>
          <w:szCs w:val="24"/>
          <w:rtl w:val="0"/>
        </w:rPr>
        <w:t xml:space="preserve">$$\text {Indicador 4: Oportunidad de Respuesta} = \left (\frac {\text {No. solicitudes de tele-experticia respondidas dentro de los tiempos estipulados}} {\text {Total de solicitudes de tele-experticia procesadas}} \right) \times 100 \quad [\text {Meta:} \geq 90\%]$$</w:t>
      </w:r>
    </w:p>
    <w:p w:rsidR="00000000" w:rsidDel="00000000" w:rsidP="00000000" w:rsidRDefault="00000000" w:rsidRPr="00000000" w14:paraId="0000007E">
      <w:pPr>
        <w:rPr>
          <w:rFonts w:ascii="Arial" w:cs="Arial" w:eastAsia="Arial" w:hAnsi="Arial"/>
          <w:sz w:val="24"/>
          <w:szCs w:val="24"/>
        </w:rPr>
      </w:pPr>
      <w:r w:rsidDel="00000000" w:rsidR="00000000" w:rsidRPr="00000000">
        <w:rPr>
          <w:rFonts w:ascii="Arial" w:cs="Arial" w:eastAsia="Arial" w:hAnsi="Arial"/>
          <w:sz w:val="24"/>
          <w:szCs w:val="24"/>
          <w:rtl w:val="0"/>
        </w:rPr>
        <w:t xml:space="preserve">$$\text {Indicador 5: Evaluación de Complicaciones Crónicas} = \left (\frac {\text {No. pacientes con TVP recurrente evaluados con la Escala de Villalta en su control}} {\text {Total de pacientes controlados por el programa}} \right) \times 100 \quad [\text {Meta:} \geq 85\%]$$</w:t>
      </w:r>
    </w:p>
    <w:p w:rsidR="00000000" w:rsidDel="00000000" w:rsidP="00000000" w:rsidRDefault="00000000" w:rsidRPr="00000000" w14:paraId="0000007F">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Bibliografía</w:t>
      </w:r>
    </w:p>
    <w:p w:rsidR="00000000" w:rsidDel="00000000" w:rsidP="00000000" w:rsidRDefault="00000000" w:rsidRPr="00000000" w14:paraId="000000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Kyrle PA. How I treat recurrent deep-vein thrombosis. Blood. 2016;127(6):696-702.</w:t>
      </w:r>
    </w:p>
    <w:p w:rsidR="00000000" w:rsidDel="00000000" w:rsidP="00000000" w:rsidRDefault="00000000" w:rsidRPr="00000000" w14:paraId="000000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Kearon C, Kahn SR. Long-term treatment of venous thromboembolism. Blood. 2020;135(5):317-325.</w:t>
      </w:r>
    </w:p>
    <w:p w:rsidR="00000000" w:rsidDel="00000000" w:rsidP="00000000" w:rsidRDefault="00000000" w:rsidRPr="00000000" w14:paraId="000000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Calvo Romero JM, Lima Rodríguez EM. Tratamiento anticoagulante extendido de la enfermedad tromboembólica venosa con anticoagulantes orales directos. Semergen. 2018;44(7):500-503.</w:t>
      </w:r>
    </w:p>
    <w:p w:rsidR="00000000" w:rsidDel="00000000" w:rsidP="00000000" w:rsidRDefault="00000000" w:rsidRPr="00000000" w14:paraId="000000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Schulman S, et al. (RE-MEDY / RE-SONATE). Extended use of dabigatran, warfarin, or placebo in venous thromboembolism. N Engl J Med. 2013;368(8):709-718.</w:t>
      </w:r>
    </w:p>
    <w:p w:rsidR="00000000" w:rsidDel="00000000" w:rsidP="00000000" w:rsidRDefault="00000000" w:rsidRPr="00000000" w14:paraId="000000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Bauersachs R, et al. (EINSTEIN-Extension). Oral rivaroxaban for symptomatic venous thromboembolism. N Engl J Med. 2010;363(26):2499-2510.</w:t>
      </w:r>
    </w:p>
    <w:p w:rsidR="00000000" w:rsidDel="00000000" w:rsidP="00000000" w:rsidRDefault="00000000" w:rsidRPr="00000000" w14:paraId="000000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Weitz JI, et al. (EINSTEIN-CHOICE). Rivaroxaban or aspirin for extended treatment of venous thromboembolism. N Engl J Med. 2017;376(13):1211-1222.</w:t>
      </w:r>
    </w:p>
    <w:p w:rsidR="00000000" w:rsidDel="00000000" w:rsidP="00000000" w:rsidRDefault="00000000" w:rsidRPr="00000000" w14:paraId="000000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Agnelli G, et al. (AMPLIFY-EXT). Apixaban for extended treatment of venous thromboembolism. N Engl J Med. 2013;368(8):699-708.</w:t>
      </w:r>
    </w:p>
    <w:p w:rsidR="00000000" w:rsidDel="00000000" w:rsidP="00000000" w:rsidRDefault="00000000" w:rsidRPr="00000000" w14:paraId="0000008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Raskob G, et al. (HOKUSAI-VTE extensión). Extended duration of anticoagulation with edoxaban. Lancet Haematol. 2016;3: e228-e236.</w:t>
      </w:r>
    </w:p>
    <w:p w:rsidR="00000000" w:rsidDel="00000000" w:rsidP="00000000" w:rsidRDefault="00000000" w:rsidRPr="00000000" w14:paraId="000000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PREPIC Study Group. Eight-year follow-up of patients with permanent vena cava filters. Circulation. 2005;112(3):416-422.</w:t>
      </w:r>
    </w:p>
    <w:p w:rsidR="00000000" w:rsidDel="00000000" w:rsidP="00000000" w:rsidRDefault="00000000" w:rsidRPr="00000000" w14:paraId="000000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Ortel TL, Neumann I, et al. ASH 2020 guidelines for management of VTE: treatment of DVT and PE. Blood Adv. 2020;4(19):4693-4738.</w:t>
      </w:r>
    </w:p>
    <w:p w:rsidR="00000000" w:rsidDel="00000000" w:rsidP="00000000" w:rsidRDefault="00000000" w:rsidRPr="00000000" w14:paraId="000000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Middeldorp S, Nieuwlaat R, et al. ASH 2023 guidelines for VTE management: thrombophilia testing. Blood Adv. 2023;7(22):7101-7138.</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Ministerio de Salud y Protección Social. Resolución 2654 de 2019. Bogotá, Colombia.</w:t>
      </w:r>
    </w:p>
    <w:p w:rsidR="00000000" w:rsidDel="00000000" w:rsidP="00000000" w:rsidRDefault="00000000" w:rsidRPr="00000000" w14:paraId="000000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Ministerio de Salud y Protección Social. Resolución 3100 de 2019. Bogotá, Colombia.</w:t>
      </w:r>
    </w:p>
    <w:p w:rsidR="00000000" w:rsidDel="00000000" w:rsidP="00000000" w:rsidRDefault="00000000" w:rsidRPr="00000000" w14:paraId="000000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Congreso de la República. Ley 1419 de 2010. Bogotá, Colombia.</w:t>
      </w:r>
    </w:p>
    <w:p w:rsidR="00000000" w:rsidDel="00000000" w:rsidP="00000000" w:rsidRDefault="00000000" w:rsidRPr="00000000" w14:paraId="000000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Congreso de la República. Ley 1581 de 2012. Bogotá, Colombia.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Realizado por: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Equipo de Especialistas Clínicos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Revisado y Aprobado por: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Sugeich Meléndez</w:t>
      </w:r>
    </w:p>
    <w:p w:rsidR="00000000" w:rsidDel="00000000" w:rsidP="00000000" w:rsidRDefault="00000000" w:rsidRPr="00000000" w14:paraId="00000092">
      <w:pPr>
        <w:rPr>
          <w:rFonts w:ascii="Arial" w:cs="Arial" w:eastAsia="Arial" w:hAnsi="Arial"/>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2"/>
      <w:tblW w:w="9456.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8"/>
      <w:gridCol w:w="2155"/>
      <w:gridCol w:w="3097"/>
      <w:gridCol w:w="1886"/>
      <w:tblGridChange w:id="0">
        <w:tblGrid>
          <w:gridCol w:w="2318"/>
          <w:gridCol w:w="2155"/>
          <w:gridCol w:w="3097"/>
          <w:gridCol w:w="1886"/>
        </w:tblGrid>
      </w:tblGridChange>
    </w:tblGrid>
    <w:tr>
      <w:trPr>
        <w:cantSplit w:val="0"/>
        <w:trHeight w:val="191" w:hRule="atLeast"/>
        <w:tblHeader w:val="0"/>
      </w:trPr>
      <w:tc>
        <w:tcPr>
          <w:vMerge w:val="restart"/>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95">
          <w:pPr>
            <w:pStyle w:val="Heading1"/>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Protocolo para la Prestación del Servicio de Tele-Experticia en el Manejo de la Trombosis Venosa Recurrente</w:t>
          </w:r>
        </w:p>
        <w:p w:rsidR="00000000" w:rsidDel="00000000" w:rsidP="00000000" w:rsidRDefault="00000000" w:rsidRPr="00000000" w14:paraId="00000096">
          <w:pPr>
            <w:rPr/>
          </w:pPr>
          <w:r w:rsidDel="00000000" w:rsidR="00000000" w:rsidRPr="00000000">
            <w:rPr>
              <w:rtl w:val="0"/>
            </w:rPr>
          </w:r>
        </w:p>
      </w:tc>
    </w:tr>
    <w:tr>
      <w:trPr>
        <w:cantSplit w:val="0"/>
        <w:trHeight w:val="266" w:hRule="atLeast"/>
        <w:tblHeader w:val="0"/>
      </w:trPr>
      <w:tc>
        <w:tcPr>
          <w:vMerge w:val="continue"/>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291" w:hRule="atLeast"/>
        <w:tblHeader w:val="0"/>
      </w:trPr>
      <w:tc>
        <w:tcPr>
          <w:vMerge w:val="continue"/>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-87</w:t>
          </w:r>
        </w:p>
      </w:tc>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e2fsRoUjy5opgGN12AQm3HWkJw==">CgMxLjAyDmguNjhlbDRlY3ZqNm1vOAByITE4T1VucndvbTBKemhaSkdrZmY3YWdQV0tSVnlhRlBqQw==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