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Protocolo para la Prestación del Servicio de Tele-Experticia en coagulación intravascular diseminada </w:t>
      </w:r>
    </w:p>
    <w:p w:rsidR="00000000" w:rsidDel="00000000" w:rsidP="00000000" w:rsidRDefault="00000000" w:rsidRPr="00000000" w14:paraId="00000003">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Introducción </w:t>
      </w:r>
    </w:p>
    <w:p w:rsidR="00000000" w:rsidDel="00000000" w:rsidP="00000000" w:rsidRDefault="00000000" w:rsidRPr="00000000" w14:paraId="0000000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coagulación intravascular diseminada (CID</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es un síndrome clínico-patológico complejo, adquirido y siempre secundario, caracterizado por la activación sistémica y descontrolada de la cascada de coagulación. Genera trombosis microvascular diseminada con daño orgánico isquémico y, paradójicamente, coagulopatía de consumo con hemorragia potencialmente letal. Su mortalidad global oscila entre el 25 y el 78 % según la etiología: en CID séptica llega al 56,4 % con criterios ISTH, y la presencia de CID en un paciente séptico duplica su mortalidad respecto a sépticos sin CID.</w:t>
      </w:r>
    </w:p>
    <w:p w:rsidR="00000000" w:rsidDel="00000000" w:rsidP="00000000" w:rsidRDefault="00000000" w:rsidRPr="00000000" w14:paraId="0000000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CID no es una enfermedad primaria: es siempre un proceso secundario a una condición subyacente precipitante: sepsis, trauma, complicaciones obstétricas, neoplasias, hepatopatía grave, reacciones transfusionales. Su principio rector es que el tratamiento de la causa base es la piedra angular del manejo, y las intervenciones de soporte hematológico son complementarias. El diagnóstico requiere la integración de la condición subyacente con el panel de coagulación y la puntuación ISTH, que fue actualizada por la ISTH SSC en 2025.</w:t>
      </w:r>
    </w:p>
    <w:p w:rsidR="00000000" w:rsidDel="00000000" w:rsidP="00000000" w:rsidRDefault="00000000" w:rsidRPr="00000000" w14:paraId="0000000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primer y segundo nivel de atención, donde la disponibilidad de especialistas en hemostasia, unidades de cuidados intensivos y terapias avanzadas puede ser limitada, la identificación oportuna de la CID y el inicio del tratamiento de la causa base son críticos para el desenlace. La tele-experticia permite al equipo tratante presencial acceder a orientación especializada para la aplicación del score ISTH, la interpretación del perfil de coagulación, la selección de los hemoderivados adecuados y la definición de los casos que requieren remisión urgente. El presente protocolo establece los lineamientos para dicha prestación.</w:t>
      </w:r>
    </w:p>
    <w:p w:rsidR="00000000" w:rsidDel="00000000" w:rsidP="00000000" w:rsidRDefault="00000000" w:rsidRPr="00000000" w14:paraId="00000007">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 General</w:t>
      </w:r>
    </w:p>
    <w:p w:rsidR="00000000" w:rsidDel="00000000" w:rsidP="00000000" w:rsidRDefault="00000000" w:rsidRPr="00000000" w14:paraId="0000000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Establecer los lineamientos operativos, asistenciales y clínicos para la prestación del servicio de tele-experticia en el manejo de la coagulación intravascular diseminada, apoyando la aplicación del score ISTH para estratificar el diagnóstico (CID manifiesta vs. no manifiesta), la selección y el uso apropiado de los hemoderivados y concentrados de factores, el tratamiento dirigido de la causa subyacente y la definición oportuna de la necesidad de remisión a mayor complejidad, con el fin de reducir la mortalidad prevenible derivada del reconocimiento tardío o del manejo inadecuado de esta coagulopatía en todos los niveles del sistema de salud colombiano.</w:t>
      </w:r>
    </w:p>
    <w:p w:rsidR="00000000" w:rsidDel="00000000" w:rsidP="00000000" w:rsidRDefault="00000000" w:rsidRPr="00000000" w14:paraId="00000009">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Objetivos Específicos</w:t>
      </w:r>
    </w:p>
    <w:p w:rsidR="00000000" w:rsidDel="00000000" w:rsidP="00000000" w:rsidRDefault="00000000" w:rsidRPr="00000000" w14:paraId="0000000A">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Estandarizar el proceso de solicitud, respuesta, registro y seguimiento de la tele-experticia dentro del programa de hemostasia y trombosis para pacientes con sospecha o diagnóstico de CID.</w:t>
      </w:r>
    </w:p>
    <w:p w:rsidR="00000000" w:rsidDel="00000000" w:rsidP="00000000" w:rsidRDefault="00000000" w:rsidRPr="00000000" w14:paraId="0000000B">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Definir las acciones inmediatas que debe ejecutar el equipo tratante presencial ante la sospecha de CID: solicitud del panel de coagulación completo (TP, TTPa, fibrinógeno, dímero-D, plaquetas, frotis) y cálculo simultáneo de la puntuación ISTH, e inicio inmediato del tratamiento de la causa subyacente.</w:t>
      </w:r>
    </w:p>
    <w:p w:rsidR="00000000" w:rsidDel="00000000" w:rsidP="00000000" w:rsidRDefault="00000000" w:rsidRPr="00000000" w14:paraId="0000000C">
      <w:pPr>
        <w:numPr>
          <w:ilvl w:val="0"/>
          <w:numId w:val="8"/>
        </w:numPr>
        <w:ind w:left="720" w:hanging="360"/>
        <w:rPr>
          <w:rFonts w:ascii="Arial" w:cs="Arial" w:eastAsia="Arial" w:hAnsi="Arial"/>
          <w:color w:val="000000"/>
          <w:sz w:val="24"/>
          <w:szCs w:val="24"/>
        </w:rPr>
      </w:pPr>
      <w:sdt>
        <w:sdtPr>
          <w:id w:val="1197331806"/>
          <w:tag w:val="goog_rdk_0"/>
        </w:sdtPr>
        <w:sdtContent>
          <w:r w:rsidDel="00000000" w:rsidR="00000000" w:rsidRPr="00000000">
            <w:rPr>
              <w:rFonts w:ascii="Arial Unicode MS" w:cs="Arial Unicode MS" w:eastAsia="Arial Unicode MS" w:hAnsi="Arial Unicode MS"/>
              <w:color w:val="000000"/>
              <w:sz w:val="24"/>
              <w:szCs w:val="24"/>
              <w:rtl w:val="0"/>
            </w:rPr>
            <w:t xml:space="preserve">Orientar la aplicación e interpretación de la puntuación ISTH (actualización 2025) para clasificar la CID como manifiesta (≥ 5 puntos) o no manifiesta (&lt; 5 puntos) y guiar las decisiones terapéuticas.</w:t>
          </w:r>
        </w:sdtContent>
      </w:sdt>
    </w:p>
    <w:p w:rsidR="00000000" w:rsidDel="00000000" w:rsidP="00000000" w:rsidRDefault="00000000" w:rsidRPr="00000000" w14:paraId="0000000D">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Apoyar la toma de decisiones sobre el uso apropiado de hemoderivados (plasma fresco congelado, crioprecipitado, concentrado de plaquetas, concentrado de hematíes) y concentrados de factores (antitrombina III, CCP) en función del perfil clínico y de laboratorio. </w:t>
      </w:r>
    </w:p>
    <w:p w:rsidR="00000000" w:rsidDel="00000000" w:rsidP="00000000" w:rsidRDefault="00000000" w:rsidRPr="00000000" w14:paraId="0000000E">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Orientar la decisión sobre anticoagulación en CID de predominio trombótico sin sangrado activo, incluyendo el uso de heparina y trombomodulina recombinante cuando esté disponible.</w:t>
      </w:r>
    </w:p>
    <w:p w:rsidR="00000000" w:rsidDel="00000000" w:rsidP="00000000" w:rsidRDefault="00000000" w:rsidRPr="00000000" w14:paraId="0000000F">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Establecer los criterios clínicos para identificar los casos que pueden manejarse con apoyo de tele-experticia y aquéllos que requieren remisión urgente a UCI, hematología o unidad de hemostasia.</w:t>
      </w:r>
    </w:p>
    <w:p w:rsidR="00000000" w:rsidDel="00000000" w:rsidP="00000000" w:rsidRDefault="00000000" w:rsidRPr="00000000" w14:paraId="00000010">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Garantizar que la atención mediante tele-experticia se desarrolle con criterios de calidad, seguridad, pertinencia clínica, confidencialidad, trazabilidad y cumplimiento de la normatividad colombiana vigente.</w:t>
      </w:r>
    </w:p>
    <w:p w:rsidR="00000000" w:rsidDel="00000000" w:rsidP="00000000" w:rsidRDefault="00000000" w:rsidRPr="00000000" w14:paraId="00000011">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Alcance</w:t>
      </w:r>
    </w:p>
    <w:p w:rsidR="00000000" w:rsidDel="00000000" w:rsidP="00000000" w:rsidRDefault="00000000" w:rsidRPr="00000000" w14:paraId="0000001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Este protocolo aplica a todos los profesionales de la salud que atienden pacientes con sospecha de CID en primer y segundo nivel de atención, incluyendo médicos generales, médicos internistas, obstetras, intensivistas, personal de enfermería. Su ámbito de aplicación comprende:</w:t>
      </w:r>
    </w:p>
    <w:p w:rsidR="00000000" w:rsidDel="00000000" w:rsidP="00000000" w:rsidRDefault="00000000" w:rsidRPr="00000000" w14:paraId="00000013">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aplicación e interpretación de la puntuación ISTH 2025 para clasificar la CID y orientar la conducta terapéutica.</w:t>
      </w:r>
    </w:p>
    <w:p w:rsidR="00000000" w:rsidDel="00000000" w:rsidP="00000000" w:rsidRDefault="00000000" w:rsidRPr="00000000" w14:paraId="00000014">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diagnóstico diferencial de la CID con otras coagulopatías de laboratorio similar (hepatopatía grave, PTT, TIH, HELLP aislado).</w:t>
      </w:r>
    </w:p>
    <w:p w:rsidR="00000000" w:rsidDel="00000000" w:rsidP="00000000" w:rsidRDefault="00000000" w:rsidRPr="00000000" w14:paraId="00000015">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orientación sobre el tratamiento de la causa subyacente según la etiología (sepsis, complicaciones obstétricas, leucemia promielocítica aguda, trauma).</w:t>
      </w:r>
    </w:p>
    <w:p w:rsidR="00000000" w:rsidDel="00000000" w:rsidP="00000000" w:rsidRDefault="00000000" w:rsidRPr="00000000" w14:paraId="00000016">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selección y el uso apropiado de hemoderivados (PFC, crioprecipitado, plaquetas, hematíes) y concentrados de factores (antitrombina III, CCP), guiados por la clínica y los valores de laboratorio. </w:t>
      </w:r>
    </w:p>
    <w:p w:rsidR="00000000" w:rsidDel="00000000" w:rsidP="00000000" w:rsidRDefault="00000000" w:rsidRPr="00000000" w14:paraId="00000017">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decisión sobre anticoagulación y el uso de ácido tranexámico en contextos específicos (CID trombótica vs. Leucemia promielocítica con hiperfibrinólisis).</w:t>
      </w:r>
    </w:p>
    <w:p w:rsidR="00000000" w:rsidDel="00000000" w:rsidP="00000000" w:rsidRDefault="00000000" w:rsidRPr="00000000" w14:paraId="00000018">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monitorización seriada del panel de coagulación y la reevaluación del score ISTH durante el tratamiento.</w:t>
      </w:r>
    </w:p>
    <w:p w:rsidR="00000000" w:rsidDel="00000000" w:rsidP="00000000" w:rsidRDefault="00000000" w:rsidRPr="00000000" w14:paraId="00000019">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definición de criterios de remisión urgente a UCI o unidad de hemostasia cuando el caso supere la capacidad resolutiva del nivel actual.</w:t>
      </w:r>
    </w:p>
    <w:p w:rsidR="00000000" w:rsidDel="00000000" w:rsidP="00000000" w:rsidRDefault="00000000" w:rsidRPr="00000000" w14:paraId="0000001A">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Marco Normativo</w:t>
      </w:r>
    </w:p>
    <w:p w:rsidR="00000000" w:rsidDel="00000000" w:rsidP="00000000" w:rsidRDefault="00000000" w:rsidRPr="00000000" w14:paraId="0000001B">
      <w:pPr>
        <w:numPr>
          <w:ilvl w:val="0"/>
          <w:numId w:val="1"/>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 3280 de 2018: Rutas Integrales de Atención en Salud (RIAS).</w:t>
      </w:r>
    </w:p>
    <w:p w:rsidR="00000000" w:rsidDel="00000000" w:rsidP="00000000" w:rsidRDefault="00000000" w:rsidRPr="00000000" w14:paraId="0000001C">
      <w:pPr>
        <w:numPr>
          <w:ilvl w:val="0"/>
          <w:numId w:val="1"/>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Ley 1751 de 2015: Ley Estatutaria de Salud (Garantía de atención de urgencias sin barreras).</w:t>
      </w:r>
    </w:p>
    <w:p w:rsidR="00000000" w:rsidDel="00000000" w:rsidP="00000000" w:rsidRDefault="00000000" w:rsidRPr="00000000" w14:paraId="0000001D">
      <w:pPr>
        <w:numPr>
          <w:ilvl w:val="0"/>
          <w:numId w:val="1"/>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 2654 de 2019: Regula la telesalud y telemedicina en Colombia.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3100 de 2019: Define los estándares de habilitación en salud.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Establece la Política Nacional de Telesalud y dicta otras disposiciones.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Protección de Datos Personales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Decreto 538 de 2020: Medidas de Telemedicina para emergencias sanitarias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Guías Ministerio de Salud y Protección Social en Telesalud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presente protocolo se sustenta en la siguiente normatividad colombiana e internacional vigente</w:t>
      </w:r>
      <w:r w:rsidDel="00000000" w:rsidR="00000000" w:rsidRPr="00000000">
        <w:rPr>
          <w:rtl w:val="0"/>
        </w:rPr>
      </w:r>
    </w:p>
    <w:p w:rsidR="00000000" w:rsidDel="00000000" w:rsidP="00000000" w:rsidRDefault="00000000" w:rsidRPr="00000000" w14:paraId="00000024">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Definiciones</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Conjunto de actividades relacionadas con la salud, servicios y métodos llevados a cabo a distancia con la ayuda de las tecnologías de la información y telecomunicaciones. Incluye, entre otras, la Telemedicina y la Teleeducación en salud.</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Teleapoyo: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Soporte solicitado por un profesional de la salud a otro a través de tecnologías de la información y comunicaciones, en el marco del relacionamiento entre instituciones prestadoras de servicios de salud.</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Relación a distancia mediante comunicación sincrónica o asincrónica para la provisión de servicios de salud, utilizando tecnologías de información y comunicación entre: a) dos profesionales de la salud, uno presencial y otro a distancia; b) profesionales en junta médica; o c) personal de salud no profesional que solicita apoyo de un profesional para la toma de decisiones clínicas.</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Atención ambulatoria: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Modalidad de atención en salud en la que la valoración, el seguimiento, la formulación, el ajuste terapéutico y el monitoreo clínico se realizan sin requerir hospitalización. </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Atención hospitalaria: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Modalidad de atención en salud en la que la valoración, el seguimiento, la formulación, el ajuste terapéutico y el monitoreo clínico se realizan en entorno de hospitalización. </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Coagulación intravascular diseminada (CID):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Síndrome adquirido y secundario caracterizado por la activación sistémica de la coagulación con pérdida de la localización, que genera trombosis microvascular diseminada, coagulopatía de consumo (factores de coagulación y plaquetas) y hemorragia potencialmente letal. Siempre es secundaria a una condición subyacente precipitante.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Puntuación ISTH 2025 (CID manifiesta): </w:t>
      </w:r>
      <w:sdt>
        <w:sdtPr>
          <w:id w:val="196391817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Sistema de puntuación de 8 puntos que integra recuento plaquetario, dímero-D (actualizado con umbrales ≥ 3x y ≥ 7x el límite superior de la normalidad), tiempo de protrombina y fibrinógeno. Solo aplicable en pacientes con una condición subyacente conocida asociada a CID. Puntuación ≥ 5: CID manifiesta, iniciar tratamiento. Puntuación &lt; 5: CID no manifiesta repetir en 24–48 horas y monitorizar.</w:t>
          </w:r>
        </w:sdtContent>
      </w:sdt>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CID manifiesta: </w:t>
      </w:r>
      <w:sdt>
        <w:sdtPr>
          <w:id w:val="97444377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Activación coagulante que supera los mecanismos compensatorios, con expresión clínica y laboratorial evidentes. Puntuación ISTH ≥ 5. Requiere tratamiento inmediato.</w:t>
          </w:r>
        </w:sdtContent>
      </w:sdt>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CID no manifiesta: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Activación coagulante todavía dentro de la capacidad compensatoria, con alteraciones de laboratorio sutiles y sin expresión clínica completa. Puntuación ISTH &lt; 5. Requiere monitorización estrecha y repetición del panel en 24–48 horas.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Coagulopatía de consumo: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Fenómeno fisiopatológico en el que el consumo masivo de factores de coagulación (I, V, VIII, fibrinógeno) y plaquetas por la trombina generada supera la capacidad de síntesis hepática y megacariopoyesis, generando paradójicamente un estado hemorrágico.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Plasma fresco congelado (PFC):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Hemoderivado que contiene todos los factores de coagulación, proteínas anticoagulantes (antitrombina, proteína C) y antifibrinolíticos. Indicado en CID con sangrado activo y TP/TTPa &gt; 1,5 veces el valor normal. Dosis: 15–30 mL/kg.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Crioprecipitado: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Hemoderivado rico en fibrinógeno, factor VIII, factor de von Willebrand y factor XIII. Indicado en CID con fibrinógeno &lt; 1,0–1,5 g/L y sangrado activo. Dosis: 1 unidad/10 kg de peso. Elección preferida sobre el PFC para reponer fibrinógeno de forma específica.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Ácido tranexámico (ATX):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Agente antifibrinolítico. Contraindicado en la mayoría de las formas de CID por riesgo de trombosis microvascular catastrófica. Excepción: CID por leucemia promielocítica aguda (LPA) con hiperfibrinólisis primaria grave documentada, donde puede emplearse con extrema cautela.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Flujo Operativo y clínico </w:t>
      </w:r>
    </w:p>
    <w:p w:rsidR="00000000" w:rsidDel="00000000" w:rsidP="00000000" w:rsidRDefault="00000000" w:rsidRPr="00000000" w14:paraId="0000003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proceso de tele-experticia en el programa de hemostasia y trombosis para CID se desarrollará siguiendo las etapas descritas a continuación. El principio fundamental es que el tratamiento de la causa subyacente debe iniciarse simultáneamente con la solicitud de tele-experticia y no retrasarse en espera del concepto del experto. La tele-experticia orienta las decisiones sobre hemoderivados, anticoagulación y remisión, pero no sustituye la acción etiológica inmediata.</w:t>
      </w:r>
    </w:p>
    <w:p w:rsidR="00000000" w:rsidDel="00000000" w:rsidP="00000000" w:rsidRDefault="00000000" w:rsidRPr="00000000" w14:paraId="00000035">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1. Identificación de la necesidad de tele-experticia</w:t>
      </w:r>
      <w:r w:rsidDel="00000000" w:rsidR="00000000" w:rsidRPr="00000000">
        <w:rPr>
          <w:rtl w:val="0"/>
        </w:rPr>
      </w:r>
    </w:p>
    <w:p w:rsidR="00000000" w:rsidDel="00000000" w:rsidP="00000000" w:rsidRDefault="00000000" w:rsidRPr="00000000" w14:paraId="0000003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asistencial identifica la sospecha de CID en un paciente con condición subyacente de riesgo (sepsis, trauma, complicación obstétrica, neoplasia, hepatopatía grave) y sangrado o trombosis inexplicada. Simultáneamente: (1) solicita estudio de coagulación completo (TP, TTPa, fibrinógeno, dímero-D, plaquetas, frotis de sangre periférica); (2) inicia el tratamiento de la causa subyacente sin esperar el concepto del experto; (3) calcula la puntuación ISTH con los resultados disponibles; y (4) genera la solicitud de tele-experticia con la información clínica y laboratorial recopilada.</w:t>
      </w:r>
    </w:p>
    <w:p w:rsidR="00000000" w:rsidDel="00000000" w:rsidP="00000000" w:rsidRDefault="00000000" w:rsidRPr="00000000" w14:paraId="00000037">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2. Recepción de la solicitud de tele-experticia</w:t>
      </w:r>
      <w:r w:rsidDel="00000000" w:rsidR="00000000" w:rsidRPr="00000000">
        <w:rPr>
          <w:rtl w:val="0"/>
        </w:rPr>
      </w:r>
    </w:p>
    <w:p w:rsidR="00000000" w:rsidDel="00000000" w:rsidP="00000000" w:rsidRDefault="00000000" w:rsidRPr="00000000" w14:paraId="0000003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experto recibe la solicitud junto con la información clínica disponible: condición subyacente identificada como causa probable de CID, resultados del panel de coagulación (TP en segundos, TTPa en segundos, fibrinógeno en g/L, dímero-D en ocasiones en el límite superior de la normalidad, recuento plaquetario), presencia o ausencia de esquistocitos en el frotis, puntuación ISTH calculada, descripción del patrón clínico predominante (hemorrágico vs. trombótico vs. mixto), hemoderivados ya administrados y respuesta, signos vitales actuales, función renal y hepática, y lactato sérico.</w:t>
      </w:r>
    </w:p>
    <w:p w:rsidR="00000000" w:rsidDel="00000000" w:rsidP="00000000" w:rsidRDefault="00000000" w:rsidRPr="00000000" w14:paraId="00000039">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3. Valoración del paciente</w:t>
      </w:r>
      <w:r w:rsidDel="00000000" w:rsidR="00000000" w:rsidRPr="00000000">
        <w:rPr>
          <w:rtl w:val="0"/>
        </w:rPr>
      </w:r>
    </w:p>
    <w:p w:rsidR="00000000" w:rsidDel="00000000" w:rsidP="00000000" w:rsidRDefault="00000000" w:rsidRPr="00000000" w14:paraId="0000003A">
      <w:pPr>
        <w:rPr>
          <w:rFonts w:ascii="Arial" w:cs="Arial" w:eastAsia="Arial" w:hAnsi="Arial"/>
          <w:color w:val="000000"/>
          <w:sz w:val="24"/>
          <w:szCs w:val="24"/>
        </w:rPr>
      </w:pPr>
      <w:sdt>
        <w:sdtPr>
          <w:id w:val="213050861"/>
          <w:tag w:val="goog_rdk_3"/>
        </w:sdtPr>
        <w:sdtContent>
          <w:r w:rsidDel="00000000" w:rsidR="00000000" w:rsidRPr="00000000">
            <w:rPr>
              <w:rFonts w:ascii="Arial Unicode MS" w:cs="Arial Unicode MS" w:eastAsia="Arial Unicode MS" w:hAnsi="Arial Unicode MS"/>
              <w:color w:val="000000"/>
              <w:sz w:val="24"/>
              <w:szCs w:val="24"/>
              <w:rtl w:val="0"/>
            </w:rPr>
            <w:t xml:space="preserve">El profesional experto realiza la valoración a partir de la información remitida y, cuando la modalidad lo permita, mediante interacción sincrónica. La valoración: (1) confirma o descarta el diagnóstico de CID manifiesta (puntuación ISTH ≥ 5) o no manifiesta (&lt; 5); (2) establece el patrón predominante (hemorrágico, trombótico o subclínico); (3) orienta el diagnóstico diferencial con hepatopatía grave, PTT y TIH; (4) define la prioridad del tratamiento de la causa base; y (5) establece el plan de soporte hematológico guiado por la clínica y los valores de laboratorio.</w:t>
          </w:r>
        </w:sdtContent>
      </w:sdt>
    </w:p>
    <w:p w:rsidR="00000000" w:rsidDel="00000000" w:rsidP="00000000" w:rsidRDefault="00000000" w:rsidRPr="00000000" w14:paraId="0000003B">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4. Emisión de concepto clínico y recomendaciones</w:t>
      </w:r>
      <w:r w:rsidDel="00000000" w:rsidR="00000000" w:rsidRPr="00000000">
        <w:rPr>
          <w:rtl w:val="0"/>
        </w:rPr>
      </w:r>
    </w:p>
    <w:p w:rsidR="00000000" w:rsidDel="00000000" w:rsidP="00000000" w:rsidRDefault="00000000" w:rsidRPr="00000000" w14:paraId="0000003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experto emite un concepto claro, trazable y urgente. El concepto incluye: clasificación de la CID (manifiesta vs. no manifiesta, hemorrágica vs. trombótica vs. subclínica); orientación específica sobre el tratamiento de la causa base; plan de hemoderivados con indicaciones, dosis y metas de cada uno (fibrinógeno &gt; 1,5 g/L, plaquetas &gt; 50.000/µL con sangrado activo, TP/TTPa &lt; 1,5 veces el valor normal); indicación o contraindicación de anticoagulación; plan de monitorización seriada (cada 6–12 horas en fase aguda); y criterios de remisión urgente con justificación explícita</w:t>
      </w:r>
    </w:p>
    <w:p w:rsidR="00000000" w:rsidDel="00000000" w:rsidP="00000000" w:rsidRDefault="00000000" w:rsidRPr="00000000" w14:paraId="0000003D">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5. Registro clínico de la tele-experticia</w:t>
      </w:r>
      <w:r w:rsidDel="00000000" w:rsidR="00000000" w:rsidRPr="00000000">
        <w:rPr>
          <w:rtl w:val="0"/>
        </w:rPr>
      </w:r>
    </w:p>
    <w:p w:rsidR="00000000" w:rsidDel="00000000" w:rsidP="00000000" w:rsidRDefault="00000000" w:rsidRPr="00000000" w14:paraId="0000003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Tanto el profesional solicitante como el profesional experto realizan el registro correspondiente en los medios institucionales definidos, dejando trazabilidad completa de la solicitud, la información compartida, el concepto emitido, la conducta final adoptada y el plan de seguimiento acordado.</w:t>
      </w:r>
    </w:p>
    <w:p w:rsidR="00000000" w:rsidDel="00000000" w:rsidP="00000000" w:rsidRDefault="00000000" w:rsidRPr="00000000" w14:paraId="0000003F">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6. Implementación de recomendaciones y seguimiento del paciente</w:t>
      </w:r>
      <w:r w:rsidDel="00000000" w:rsidR="00000000" w:rsidRPr="00000000">
        <w:rPr>
          <w:rtl w:val="0"/>
        </w:rPr>
      </w:r>
    </w:p>
    <w:p w:rsidR="00000000" w:rsidDel="00000000" w:rsidP="00000000" w:rsidRDefault="00000000" w:rsidRPr="00000000" w14:paraId="0000004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solicitante implementa las recomendaciones dentro del marco de sus competencias, administra los hemoderivados y fármacos indicados, monitoriza seriadamente los parámetros de coagulación y la función orgánica, reevalúa la puntuación ISTH al menos dos veces al día durante la fase aguda, y gestiona la remisión urgente si está indicada.</w:t>
      </w:r>
    </w:p>
    <w:p w:rsidR="00000000" w:rsidDel="00000000" w:rsidP="00000000" w:rsidRDefault="00000000" w:rsidRPr="00000000" w14:paraId="00000041">
      <w:pPr>
        <w:rPr>
          <w:rFonts w:ascii="Arial" w:cs="Arial" w:eastAsia="Arial" w:hAnsi="Arial"/>
          <w:color w:val="000000"/>
          <w:sz w:val="24"/>
          <w:szCs w:val="24"/>
        </w:rPr>
      </w:pPr>
      <w:r w:rsidDel="00000000" w:rsidR="00000000" w:rsidRPr="00000000">
        <w:rPr>
          <w:rtl w:val="0"/>
        </w:rPr>
      </w:r>
    </w:p>
    <w:tbl>
      <w:tblPr>
        <w:tblStyle w:val="Table1"/>
        <w:tblW w:w="8828.0" w:type="dxa"/>
        <w:jc w:val="left"/>
        <w:tblLayout w:type="fixed"/>
        <w:tblLook w:val="0400"/>
      </w:tblPr>
      <w:tblGrid>
        <w:gridCol w:w="894"/>
        <w:gridCol w:w="5339"/>
        <w:gridCol w:w="2595"/>
        <w:tblGridChange w:id="0">
          <w:tblGrid>
            <w:gridCol w:w="894"/>
            <w:gridCol w:w="5339"/>
            <w:gridCol w:w="25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2">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3">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Actividad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4">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Responsable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Sospecha de CID + panel de coagulación urgente + cálculo ISTH + inicio simultáneo del tratamiento etiológico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asistencial presencial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Recepción de la solicitud de tele-experticia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referente / profesional experto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Valoración: score ISTH + patrón clínico + diagnóstico diferencial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Emisión de concepto clínico y recomendaciones de hemoderivados y anticoagulación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5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Registro clínico de la tele-experticia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Ambos profesionales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5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Implementación de recomendaciones y monitorización seriada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solicitante / equipo tratante</w:t>
            </w:r>
          </w:p>
        </w:tc>
      </w:tr>
    </w:tbl>
    <w:p w:rsidR="00000000" w:rsidDel="00000000" w:rsidP="00000000" w:rsidRDefault="00000000" w:rsidRPr="00000000" w14:paraId="00000057">
      <w:pPr>
        <w:rPr>
          <w:rFonts w:ascii="Arial" w:cs="Arial" w:eastAsia="Arial" w:hAnsi="Arial"/>
          <w:color w:val="000000"/>
          <w:sz w:val="24"/>
          <w:szCs w:val="24"/>
        </w:rPr>
      </w:pPr>
      <w:r w:rsidDel="00000000" w:rsidR="00000000" w:rsidRPr="00000000">
        <w:rPr>
          <w:rFonts w:ascii="Arial" w:cs="Arial" w:eastAsia="Arial" w:hAnsi="Arial"/>
          <w:i w:val="1"/>
          <w:iCs w:val="1"/>
          <w:color w:val="000000"/>
          <w:sz w:val="24"/>
          <w:szCs w:val="24"/>
          <w:rtl w:val="0"/>
        </w:rPr>
        <w:t xml:space="preserve">Tabla 1. Flujo operativo de la tele-experticia para CID. El tratamiento de la causa subyacente debe iniciarse simultáneamente con la solicitud, nunca después. La tele-experticia orienta las decisiones sobre hemoderivados y anticoagulación, pero no sustituye la acción etiológica inmediata.</w:t>
      </w:r>
      <w:r w:rsidDel="00000000" w:rsidR="00000000" w:rsidRPr="00000000">
        <w:rPr>
          <w:rtl w:val="0"/>
        </w:rPr>
      </w:r>
    </w:p>
    <w:p w:rsidR="00000000" w:rsidDel="00000000" w:rsidP="00000000" w:rsidRDefault="00000000" w:rsidRPr="00000000" w14:paraId="00000058">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Inclusión / Exclusión</w:t>
      </w:r>
    </w:p>
    <w:p w:rsidR="00000000" w:rsidDel="00000000" w:rsidP="00000000" w:rsidRDefault="00000000" w:rsidRPr="00000000" w14:paraId="00000059">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Inclusión</w:t>
      </w:r>
    </w:p>
    <w:p w:rsidR="00000000" w:rsidDel="00000000" w:rsidP="00000000" w:rsidRDefault="00000000" w:rsidRPr="00000000" w14:paraId="0000005A">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condición subyacente de riesgo para CID (sepsis, trauma, complicación obstétrica, neoplasia, hepatopatía) y alteraciones del panel de coagulación compatibles, en quienes el equipo tratante requiere orientación para aplicar la puntuación ISTH y clasificar la CID.</w:t>
      </w:r>
    </w:p>
    <w:p w:rsidR="00000000" w:rsidDel="00000000" w:rsidP="00000000" w:rsidRDefault="00000000" w:rsidRPr="00000000" w14:paraId="0000005B">
      <w:pPr>
        <w:numPr>
          <w:ilvl w:val="0"/>
          <w:numId w:val="10"/>
        </w:numPr>
        <w:ind w:left="720" w:hanging="360"/>
        <w:rPr>
          <w:rFonts w:ascii="Arial" w:cs="Arial" w:eastAsia="Arial" w:hAnsi="Arial"/>
          <w:color w:val="000000"/>
          <w:sz w:val="24"/>
          <w:szCs w:val="24"/>
        </w:rPr>
      </w:pPr>
      <w:sdt>
        <w:sdtPr>
          <w:id w:val="-1630397210"/>
          <w:tag w:val="goog_rdk_4"/>
        </w:sdtPr>
        <w:sdtContent>
          <w:r w:rsidDel="00000000" w:rsidR="00000000" w:rsidRPr="00000000">
            <w:rPr>
              <w:rFonts w:ascii="Arial Unicode MS" w:cs="Arial Unicode MS" w:eastAsia="Arial Unicode MS" w:hAnsi="Arial Unicode MS"/>
              <w:color w:val="000000"/>
              <w:sz w:val="24"/>
              <w:szCs w:val="24"/>
              <w:rtl w:val="0"/>
            </w:rPr>
            <w:t xml:space="preserve">Pacientes con CID manifiesta (puntuación ISTH ≥ 5) que están clínicamente estables y en quienes se requiere orientación sobre la selección y la dosis de hemoderivados (PFC, crioprecipitado, plaquetas) según el patrón clínico predominante.</w:t>
          </w:r>
        </w:sdtContent>
      </w:sdt>
    </w:p>
    <w:p w:rsidR="00000000" w:rsidDel="00000000" w:rsidP="00000000" w:rsidRDefault="00000000" w:rsidRPr="00000000" w14:paraId="0000005C">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CID y patrón trombótico sin sangrado activo en quienes se requiere orientación sobre la indicación de anticoagulación (HNF/HBPM) y sus umbrales de plaquetas mínimos.</w:t>
      </w:r>
    </w:p>
    <w:p w:rsidR="00000000" w:rsidDel="00000000" w:rsidP="00000000" w:rsidRDefault="00000000" w:rsidRPr="00000000" w14:paraId="0000005D">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sospecha de CID en el contexto de leucemia promielocítica aguda (LPA) en quienes se requiere orientación sobre el inicio urgente de ATRA y el manejo paralelo de la coagulopatía.</w:t>
      </w:r>
    </w:p>
    <w:p w:rsidR="00000000" w:rsidDel="00000000" w:rsidP="00000000" w:rsidRDefault="00000000" w:rsidRPr="00000000" w14:paraId="0000005E">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CID no manifiesta (puntuación ISTH &lt; 5) con condición de riesgo activa, en quienes se requiere orientación sobre el plan de monitorización seriada y los umbrales para inicio de tratamiento.</w:t>
      </w:r>
    </w:p>
    <w:p w:rsidR="00000000" w:rsidDel="00000000" w:rsidP="00000000" w:rsidRDefault="00000000" w:rsidRPr="00000000" w14:paraId="0000005F">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CID en quienes se requiere apoyo para el diagnóstico diferencial con hepatopatía grave, PTT/SHUa, TIH o HELLP aislado, dado que el manejo de cada entidad difiere significativamente.</w:t>
      </w:r>
    </w:p>
    <w:p w:rsidR="00000000" w:rsidDel="00000000" w:rsidP="00000000" w:rsidRDefault="00000000" w:rsidRPr="00000000" w14:paraId="00000060">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exclusión</w:t>
      </w:r>
    </w:p>
    <w:p w:rsidR="00000000" w:rsidDel="00000000" w:rsidP="00000000" w:rsidRDefault="00000000" w:rsidRPr="00000000" w14:paraId="00000061">
      <w:pPr>
        <w:numPr>
          <w:ilvl w:val="0"/>
          <w:numId w:val="1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CID y hemorragia catastrófica activa con inestabilidad hemodinámica (shock hemorrágico) que requieren activación del protocolo de hemorragia mayor y manejo en UCI: el traslado no debe demorarse por el proceso de tele-experticia, que puede apoyar en paralelo de forma sincrónica.</w:t>
      </w:r>
    </w:p>
    <w:p w:rsidR="00000000" w:rsidDel="00000000" w:rsidP="00000000" w:rsidRDefault="00000000" w:rsidRPr="00000000" w14:paraId="00000062">
      <w:pPr>
        <w:numPr>
          <w:ilvl w:val="0"/>
          <w:numId w:val="11"/>
        </w:numPr>
        <w:ind w:left="720" w:hanging="360"/>
        <w:rPr>
          <w:rFonts w:ascii="Arial" w:cs="Arial" w:eastAsia="Arial" w:hAnsi="Arial"/>
          <w:color w:val="000000"/>
          <w:sz w:val="24"/>
          <w:szCs w:val="24"/>
        </w:rPr>
      </w:pPr>
      <w:sdt>
        <w:sdtPr>
          <w:id w:val="-1602884444"/>
          <w:tag w:val="goog_rdk_5"/>
        </w:sdtPr>
        <w:sdtContent>
          <w:r w:rsidDel="00000000" w:rsidR="00000000" w:rsidRPr="00000000">
            <w:rPr>
              <w:rFonts w:ascii="Arial Unicode MS" w:cs="Arial Unicode MS" w:eastAsia="Arial Unicode MS" w:hAnsi="Arial Unicode MS"/>
              <w:color w:val="000000"/>
              <w:sz w:val="24"/>
              <w:szCs w:val="24"/>
              <w:rtl w:val="0"/>
            </w:rPr>
            <w:t xml:space="preserve">Pacientes con CID en el contexto de sepsis con choque séptico refractario (uso de ≥ 2 vasopresores, lactato &gt; 4 mmol/L) que requieren UCI y manejo intensivo presencial.</w:t>
          </w:r>
        </w:sdtContent>
      </w:sdt>
    </w:p>
    <w:p w:rsidR="00000000" w:rsidDel="00000000" w:rsidP="00000000" w:rsidRDefault="00000000" w:rsidRPr="00000000" w14:paraId="00000063">
      <w:pPr>
        <w:numPr>
          <w:ilvl w:val="0"/>
          <w:numId w:val="1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CID y falla orgánica múltiple establecida (renal, hepática y neurológica) con inestabilidad que requieren soporte de órganos en UCI: el traslado urgente es prioritario sobre la tele-experticia.</w:t>
      </w:r>
    </w:p>
    <w:p w:rsidR="00000000" w:rsidDel="00000000" w:rsidP="00000000" w:rsidRDefault="00000000" w:rsidRPr="00000000" w14:paraId="00000064">
      <w:pPr>
        <w:numPr>
          <w:ilvl w:val="0"/>
          <w:numId w:val="1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sospecha de LPA que requieren inicio urgente de ATRA en las próximas horas: la tele-experticia puede orientar simultáneamente, pero el inicio de ATRA no debe retrasarse por espera del concepto.</w:t>
      </w:r>
    </w:p>
    <w:p w:rsidR="00000000" w:rsidDel="00000000" w:rsidP="00000000" w:rsidRDefault="00000000" w:rsidRPr="00000000" w14:paraId="00000065">
      <w:pPr>
        <w:numPr>
          <w:ilvl w:val="0"/>
          <w:numId w:val="1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Casos en los que no sea técnicamente posible realizar la atención mediante los canales institucionales definidos (falla de conectividad, ausencia del panel de coagulación mínimo requerido para calcular el score ISTH).</w:t>
      </w:r>
    </w:p>
    <w:p w:rsidR="00000000" w:rsidDel="00000000" w:rsidP="00000000" w:rsidRDefault="00000000" w:rsidRPr="00000000" w14:paraId="00000066">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Roles y Responsabilidades</w:t>
      </w:r>
    </w:p>
    <w:p w:rsidR="00000000" w:rsidDel="00000000" w:rsidP="00000000" w:rsidRDefault="00000000" w:rsidRPr="00000000" w14:paraId="00000067">
      <w:pPr>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Centro remisor / profesional solicitante</w:t>
      </w:r>
    </w:p>
    <w:p w:rsidR="00000000" w:rsidDel="00000000" w:rsidP="00000000" w:rsidRDefault="00000000" w:rsidRPr="00000000" w14:paraId="00000068">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Identificar la condición subyacente de riesgo para CID e iniciar de inmediato su tratamiento específico (antibioticoterapia en sepsis, parto en complicaciones obstétricas, ATRA en LPA, reanimación hemostática en trauma) sin esperar el concepto de tele-experticia.</w:t>
      </w:r>
    </w:p>
    <w:p w:rsidR="00000000" w:rsidDel="00000000" w:rsidP="00000000" w:rsidRDefault="00000000" w:rsidRPr="00000000" w14:paraId="00000069">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Solicitar el panel de coagulación completo urgente y calcular la puntuación ISTH 2025 antes de generar la solicitud de tele-experticia, documentando los valores individuales y la puntuación total.</w:t>
      </w:r>
    </w:p>
    <w:p w:rsidR="00000000" w:rsidDel="00000000" w:rsidP="00000000" w:rsidRDefault="00000000" w:rsidRPr="00000000" w14:paraId="0000006A">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Documentar el patrón clínico predominante (hemorrágico vs. trombótico), los hemoderivados ya administrados y la respuesta, los signos vitales actuales y el estado hemodinámico del paciente.</w:t>
      </w:r>
    </w:p>
    <w:p w:rsidR="00000000" w:rsidDel="00000000" w:rsidP="00000000" w:rsidRDefault="00000000" w:rsidRPr="00000000" w14:paraId="0000006B">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Implementar las recomendaciones recibidas, monitorizar seriadamente los parámetros de coagulación y reevaluar la puntuación ISTH cada 6–12 horas en la fase aguda. Registrar en la historia clínica el concepto emitido y la conducta adoptada.</w:t>
      </w:r>
    </w:p>
    <w:p w:rsidR="00000000" w:rsidDel="00000000" w:rsidP="00000000" w:rsidRDefault="00000000" w:rsidRPr="00000000" w14:paraId="0000006C">
      <w:pPr>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Profesional experto (centro referente)</w:t>
      </w:r>
    </w:p>
    <w:p w:rsidR="00000000" w:rsidDel="00000000" w:rsidP="00000000" w:rsidRDefault="00000000" w:rsidRPr="00000000" w14:paraId="0000006D">
      <w:pPr>
        <w:numPr>
          <w:ilvl w:val="0"/>
          <w:numId w:val="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Interpretar la puntuación ISTH y el perfil clínico y de laboratorio para confirmar o descartar CID manifiesta, establecer el patrón predominante y orientar el diagnóstico diferencial con otras coagulopatías.</w:t>
      </w:r>
    </w:p>
    <w:p w:rsidR="00000000" w:rsidDel="00000000" w:rsidP="00000000" w:rsidRDefault="00000000" w:rsidRPr="00000000" w14:paraId="0000006E">
      <w:pPr>
        <w:numPr>
          <w:ilvl w:val="0"/>
          <w:numId w:val="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Emitir recomendaciones específicas y priorizadas sobre hemoderivados (PFC, crioprecipitado, plaquetas, hematíes) con indicaciones, dosis y metas fisiológicas claras, guiadas por la clínica y no solo por los valores laboratoriales.</w:t>
      </w:r>
    </w:p>
    <w:p w:rsidR="00000000" w:rsidDel="00000000" w:rsidP="00000000" w:rsidRDefault="00000000" w:rsidRPr="00000000" w14:paraId="0000006F">
      <w:pPr>
        <w:numPr>
          <w:ilvl w:val="0"/>
          <w:numId w:val="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Orientar la decisión sobre anticoagulación en CID trombótica, con los umbrales de plaquetas mínimos y las contraindicaciones explícitas, y la indicación del ácido tranexámico únicamente en los contextos específicos autorizados (LPA con hiperfibrinólisis primaria).</w:t>
      </w:r>
    </w:p>
    <w:p w:rsidR="00000000" w:rsidDel="00000000" w:rsidP="00000000" w:rsidRDefault="00000000" w:rsidRPr="00000000" w14:paraId="00000070">
      <w:pPr>
        <w:numPr>
          <w:ilvl w:val="0"/>
          <w:numId w:val="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Registrar la opinión médica de forma completa y trazable con fecha y hora, e indicar los criterios de remisión urgente con justificación explícita.</w:t>
      </w:r>
    </w:p>
    <w:p w:rsidR="00000000" w:rsidDel="00000000" w:rsidP="00000000" w:rsidRDefault="00000000" w:rsidRPr="00000000" w14:paraId="00000071">
      <w:pPr>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Equipo de soporte tecnológico</w:t>
      </w:r>
    </w:p>
    <w:p w:rsidR="00000000" w:rsidDel="00000000" w:rsidP="00000000" w:rsidRDefault="00000000" w:rsidRPr="00000000" w14:paraId="00000072">
      <w:pPr>
        <w:numPr>
          <w:ilvl w:val="0"/>
          <w:numId w:val="3"/>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Garantizar la disponibilidad, seguridad y trazabilidad de las plataformas tecnológicas, con condiciones de confidencialidad conforme a la Ley 1581 de 2012, y brindar soporte técnico oportuno.</w:t>
      </w:r>
    </w:p>
    <w:p w:rsidR="00000000" w:rsidDel="00000000" w:rsidP="00000000" w:rsidRDefault="00000000" w:rsidRPr="00000000" w14:paraId="00000073">
      <w:pPr>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Equipo de gestión clínica / calidad</w:t>
      </w:r>
    </w:p>
    <w:p w:rsidR="00000000" w:rsidDel="00000000" w:rsidP="00000000" w:rsidRDefault="00000000" w:rsidRPr="00000000" w14:paraId="00000074">
      <w:pPr>
        <w:numPr>
          <w:ilvl w:val="0"/>
          <w:numId w:val="4"/>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Monitorizar la adherencia al protocolo mediante indicadores periódicos, especialmente el cálculo documentado del score ISTH, el uso apropiado de hemoderivados guiado por clínica (no solo por laboratorio) y la evitación del ácido tranexámico fuera de sus indicaciones precisas.</w:t>
      </w:r>
    </w:p>
    <w:p w:rsidR="00000000" w:rsidDel="00000000" w:rsidP="00000000" w:rsidRDefault="00000000" w:rsidRPr="00000000" w14:paraId="00000075">
      <w:pPr>
        <w:rPr>
          <w:rFonts w:ascii="Arial" w:cs="Arial" w:eastAsia="Arial" w:hAnsi="Arial"/>
          <w:b w:val="1"/>
          <w:bCs w:val="1"/>
          <w:color w:val="000000"/>
          <w:sz w:val="24"/>
          <w:szCs w:val="24"/>
        </w:rPr>
      </w:pPr>
      <w:r w:rsidDel="00000000" w:rsidR="00000000" w:rsidRPr="00000000">
        <w:rPr>
          <w:b w:val="1"/>
          <w:bCs w:val="1"/>
          <w:color w:val="262626"/>
          <w:sz w:val="28"/>
          <w:szCs w:val="28"/>
          <w:rtl w:val="0"/>
        </w:rPr>
        <w:t xml:space="preserve">Tiempos de respuesta sugeridos</w:t>
      </w:r>
      <w:r w:rsidDel="00000000" w:rsidR="00000000" w:rsidRPr="00000000">
        <w:rPr>
          <w:rtl w:val="0"/>
        </w:rPr>
      </w:r>
    </w:p>
    <w:p w:rsidR="00000000" w:rsidDel="00000000" w:rsidP="00000000" w:rsidRDefault="00000000" w:rsidRPr="00000000" w14:paraId="00000076">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La CID manifiesta en el contexto de sepsis, trauma o complicación obstétrica es una emergencia tiempo-dependiente. Los tiempos de respuesta deben ajustarse a la urgencia clínica del caso, operando preferentemente en modalidad sincrónica cuando hay inestabilidad o hemorragia activa.</w:t>
      </w:r>
    </w:p>
    <w:p w:rsidR="00000000" w:rsidDel="00000000" w:rsidP="00000000" w:rsidRDefault="00000000" w:rsidRPr="00000000" w14:paraId="00000077">
      <w:pPr>
        <w:rPr>
          <w:rFonts w:ascii="Arial" w:cs="Arial" w:eastAsia="Arial" w:hAnsi="Arial"/>
          <w:color w:val="262626"/>
          <w:sz w:val="24"/>
          <w:szCs w:val="24"/>
        </w:rPr>
      </w:pPr>
      <w:r w:rsidDel="00000000" w:rsidR="00000000" w:rsidRPr="00000000">
        <w:rPr>
          <w:rtl w:val="0"/>
        </w:rPr>
      </w:r>
    </w:p>
    <w:tbl>
      <w:tblPr>
        <w:tblStyle w:val="Table2"/>
        <w:tblW w:w="8828.0" w:type="dxa"/>
        <w:jc w:val="left"/>
        <w:tblLayout w:type="fixed"/>
        <w:tblLook w:val="0400"/>
      </w:tblPr>
      <w:tblGrid>
        <w:gridCol w:w="3311"/>
        <w:gridCol w:w="2168"/>
        <w:gridCol w:w="3349"/>
        <w:tblGridChange w:id="0">
          <w:tblGrid>
            <w:gridCol w:w="3311"/>
            <w:gridCol w:w="2168"/>
            <w:gridCol w:w="3349"/>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8">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Tipo de solicitud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9">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Tiempo de respuesta sugerido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A">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Observaciones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rFonts w:ascii="Arial" w:cs="Arial" w:eastAsia="Arial" w:hAnsi="Arial"/>
                <w:color w:val="262626"/>
                <w:sz w:val="24"/>
                <w:szCs w:val="24"/>
              </w:rPr>
            </w:pPr>
            <w:sdt>
              <w:sdtPr>
                <w:id w:val="-536808397"/>
                <w:tag w:val="goog_rdk_6"/>
              </w:sdtPr>
              <w:sdtContent>
                <w:r w:rsidDel="00000000" w:rsidR="00000000" w:rsidRPr="00000000">
                  <w:rPr>
                    <w:rFonts w:ascii="Arial Unicode MS" w:cs="Arial Unicode MS" w:eastAsia="Arial Unicode MS" w:hAnsi="Arial Unicode MS"/>
                    <w:color w:val="262626"/>
                    <w:sz w:val="24"/>
                    <w:szCs w:val="24"/>
                    <w:rtl w:val="0"/>
                  </w:rPr>
                  <w:t xml:space="preserve">CID manifiesta (score ISTH ≥ 5) con sangrado activo y compromisos hemodinámico</w:t>
                </w:r>
              </w:sdtContent>
            </w:sdt>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&lt; 15 minutos (sincrónica)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Iniciar tratamiento etiológico y hemoderivados de inmediato; tele-experticia en paralelo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CID en contexto de LPA: orientación sobre inicio de ATRA y manejo de hiperfibrinólisis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&lt; 15 minutos (sincrónica)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No retrasar ATRA; la tele-experticia orienta el manejo de la coagulopatía simultáneo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CID obstétrica: complicaciones de placenta, óbito fetal, embolia de líquido amniótico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&lt; 15 minutos (sincrónica)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Evacuar el útero/parto no debe demorarse por la tele-experticia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CID manifiesta estable: orientación sobre hemoderivados y monitorización seriada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15–30 minutos (sincrónica o asincrónica)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Incluir score ISTH calculado y patrón clínico predominante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CID trombótica sin sangrado: decisión sobre anticoagulación (HNF/HBPM)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30–60 minutos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Verificar umbrales de plaquetas y riesgo hemorrágico antes de decidir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CID no manifiesta (score &lt; 5): plan de monitorización y umbral de inicio de tratamiento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24–48 horas (asincrónica)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Repetir panel de coagulación en 24–48 horas; tele-experticia programada</w:t>
            </w:r>
          </w:p>
        </w:tc>
      </w:tr>
    </w:tbl>
    <w:p w:rsidR="00000000" w:rsidDel="00000000" w:rsidP="00000000" w:rsidRDefault="00000000" w:rsidRPr="00000000" w14:paraId="0000008D">
      <w:pPr>
        <w:rPr>
          <w:rFonts w:ascii="Arial" w:cs="Arial" w:eastAsia="Arial" w:hAnsi="Arial"/>
          <w:color w:val="262626"/>
          <w:sz w:val="24"/>
          <w:szCs w:val="24"/>
        </w:rPr>
      </w:pPr>
      <w:r w:rsidDel="00000000" w:rsidR="00000000" w:rsidRPr="00000000">
        <w:rPr>
          <w:rFonts w:ascii="Arial" w:cs="Arial" w:eastAsia="Arial" w:hAnsi="Arial"/>
          <w:i w:val="1"/>
          <w:iCs w:val="1"/>
          <w:color w:val="262626"/>
          <w:sz w:val="24"/>
          <w:szCs w:val="24"/>
          <w:rtl w:val="0"/>
        </w:rPr>
        <w:t xml:space="preserve">Tabla 2. Tiempos de respuesta sugeridos según la urgencia clínica del caso.</w:t>
      </w:r>
      <w:r w:rsidDel="00000000" w:rsidR="00000000" w:rsidRPr="00000000">
        <w:rPr>
          <w:rtl w:val="0"/>
        </w:rPr>
      </w:r>
    </w:p>
    <w:p w:rsidR="00000000" w:rsidDel="00000000" w:rsidP="00000000" w:rsidRDefault="00000000" w:rsidRPr="00000000" w14:paraId="0000008E">
      <w:pPr>
        <w:rPr>
          <w:b w:val="1"/>
          <w:bCs w:val="1"/>
          <w:color w:val="262626"/>
          <w:sz w:val="28"/>
          <w:szCs w:val="28"/>
        </w:rPr>
      </w:pPr>
      <w:r w:rsidDel="00000000" w:rsidR="00000000" w:rsidRPr="00000000">
        <w:rPr>
          <w:b w:val="1"/>
          <w:bCs w:val="1"/>
          <w:color w:val="262626"/>
          <w:sz w:val="28"/>
          <w:szCs w:val="28"/>
          <w:rtl w:val="0"/>
        </w:rPr>
        <w:t xml:space="preserve">Estrategias de humanización digital</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privacidad del espacio durante la teleconsulta, evitar interrupciones, ruido</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y presencia de personas no autorizadas. </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El medico remitente debe presentar al paciente al profesional experto por el nombre, no como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 u otro adjetivo. </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lenguaje sencillo, accesible, no técnico al comunicar las recomendaciones al paciente,</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familiar o cuidador. </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Reconocer el impacto emocional del paciente, familia o acompañante, tener una actitud empática permanente. </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Evitar juicios de valor, la meta es acompañar no imponer.  </w:t>
      </w:r>
    </w:p>
    <w:p w:rsidR="00000000" w:rsidDel="00000000" w:rsidP="00000000" w:rsidRDefault="00000000" w:rsidRPr="00000000" w14:paraId="00000094">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Dialogo intercultural</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Reconocer las practicas sanitarias culturales en territorios con poblaciones indígenas, afroamericanas, campesinas u otras y dialogar desde el respeto, sin invalidar orientando a practicas seguras. </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Involucrar a médicos ancestrales, lideres comunitarios, promotores de salud, etc. como aliados en la captación y seguimiento. </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Implementar estrategias educativas al contexto cultural, al idioma o lengua predominante en las comunidades. </w:t>
      </w:r>
    </w:p>
    <w:p w:rsidR="00000000" w:rsidDel="00000000" w:rsidP="00000000" w:rsidRDefault="00000000" w:rsidRPr="00000000" w14:paraId="00000098">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Indicadores </w:t>
      </w:r>
    </w:p>
    <w:p w:rsidR="00000000" w:rsidDel="00000000" w:rsidP="00000000" w:rsidRDefault="00000000" w:rsidRPr="00000000" w14:paraId="00000099">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El servicio de hematología realizará seguimiento de hemostasia y trombosis mediante tele-experticia deberá monitorizar periódicamente los siguientes indicadores de calidad para el manejo de CID:</w:t>
      </w:r>
    </w:p>
    <w:p w:rsidR="00000000" w:rsidDel="00000000" w:rsidP="00000000" w:rsidRDefault="00000000" w:rsidRPr="00000000" w14:paraId="0000009A">
      <w:pPr>
        <w:rPr>
          <w:rFonts w:ascii="Arial" w:cs="Arial" w:eastAsia="Arial" w:hAnsi="Arial"/>
          <w:color w:val="262626"/>
          <w:sz w:val="24"/>
          <w:szCs w:val="24"/>
        </w:rPr>
      </w:pPr>
      <w:r w:rsidDel="00000000" w:rsidR="00000000" w:rsidRPr="00000000">
        <w:rPr>
          <w:rtl w:val="0"/>
        </w:rPr>
      </w:r>
    </w:p>
    <w:tbl>
      <w:tblPr>
        <w:tblStyle w:val="Table3"/>
        <w:tblW w:w="8828.0" w:type="dxa"/>
        <w:jc w:val="left"/>
        <w:tblLayout w:type="fixed"/>
        <w:tblLook w:val="0400"/>
      </w:tblPr>
      <w:tblGrid>
        <w:gridCol w:w="2844"/>
        <w:gridCol w:w="4667"/>
        <w:gridCol w:w="1317"/>
        <w:tblGridChange w:id="0">
          <w:tblGrid>
            <w:gridCol w:w="2844"/>
            <w:gridCol w:w="4667"/>
            <w:gridCol w:w="1317"/>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B">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Indicador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C">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Definición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D">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Meta sugerida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Cálculo documentado del score ISTH en la solicitud de tele-experticia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solicitudes de tele-experticia por CID que incluyen la puntuación ISTH calculada y los valores individuales documentados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rFonts w:ascii="Arial" w:cs="Arial" w:eastAsia="Arial" w:hAnsi="Arial"/>
                <w:color w:val="262626"/>
                <w:sz w:val="24"/>
                <w:szCs w:val="24"/>
              </w:rPr>
            </w:pPr>
            <w:sdt>
              <w:sdtPr>
                <w:id w:val="1255427142"/>
                <w:tag w:val="goog_rdk_7"/>
              </w:sdtPr>
              <w:sdtContent>
                <w:r w:rsidDel="00000000" w:rsidR="00000000" w:rsidRPr="00000000">
                  <w:rPr>
                    <w:rFonts w:ascii="Arial Unicode MS" w:cs="Arial Unicode MS" w:eastAsia="Arial Unicode MS" w:hAnsi="Arial Unicode MS"/>
                    <w:color w:val="262626"/>
                    <w:sz w:val="24"/>
                    <w:szCs w:val="24"/>
                    <w:rtl w:val="0"/>
                  </w:rPr>
                  <w:t xml:space="preserve">≥ 95 %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Inicio oportuno del tratamiento de la causa subyacente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pacientes con CID en quienes el tratamiento etiológico (antibioticoterapia en sepsis, ATRA en LPA, manejo dirigido de complicación obstétrica) se inició antes o simultáneamente a la solicitud de tele-experticia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100 %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Oportunidad de respuesta del profesional experto en CID manifiesta con sangrado activo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solicitudes urgentes con respuesta en &lt; 15 minutos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rFonts w:ascii="Arial" w:cs="Arial" w:eastAsia="Arial" w:hAnsi="Arial"/>
                <w:color w:val="262626"/>
                <w:sz w:val="24"/>
                <w:szCs w:val="24"/>
              </w:rPr>
            </w:pPr>
            <w:sdt>
              <w:sdtPr>
                <w:id w:val="-1860920912"/>
                <w:tag w:val="goog_rdk_8"/>
              </w:sdtPr>
              <w:sdtContent>
                <w:r w:rsidDel="00000000" w:rsidR="00000000" w:rsidRPr="00000000">
                  <w:rPr>
                    <w:rFonts w:ascii="Arial Unicode MS" w:cs="Arial Unicode MS" w:eastAsia="Arial Unicode MS" w:hAnsi="Arial Unicode MS"/>
                    <w:color w:val="262626"/>
                    <w:sz w:val="24"/>
                    <w:szCs w:val="24"/>
                    <w:rtl w:val="0"/>
                  </w:rPr>
                  <w:t xml:space="preserve">≥ 90 %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Uso apropiado de hemoderivados guiado por clínica y laboratorio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tele-experticias en las que las recomendaciones de hemoderivados incluyen metas fisiológicas (fibrinógeno, plaquetas, TP/TTPa)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rFonts w:ascii="Arial" w:cs="Arial" w:eastAsia="Arial" w:hAnsi="Arial"/>
                <w:color w:val="262626"/>
                <w:sz w:val="24"/>
                <w:szCs w:val="24"/>
              </w:rPr>
            </w:pPr>
            <w:sdt>
              <w:sdtPr>
                <w:id w:val="-535361152"/>
                <w:tag w:val="goog_rdk_9"/>
              </w:sdtPr>
              <w:sdtContent>
                <w:r w:rsidDel="00000000" w:rsidR="00000000" w:rsidRPr="00000000">
                  <w:rPr>
                    <w:rFonts w:ascii="Arial Unicode MS" w:cs="Arial Unicode MS" w:eastAsia="Arial Unicode MS" w:hAnsi="Arial Unicode MS"/>
                    <w:color w:val="262626"/>
                    <w:sz w:val="24"/>
                    <w:szCs w:val="24"/>
                    <w:rtl w:val="0"/>
                  </w:rPr>
                  <w:t xml:space="preserve">≥ 95 %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Evitación inapropiada del ácido tranexámico en CID no-LPA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pacientes con CID no LPA que recibieron ácido tranexámico sin indicación documentada de hiperfibrinólisis primaria grave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rFonts w:ascii="Arial" w:cs="Arial" w:eastAsia="Arial" w:hAnsi="Arial"/>
                <w:color w:val="262626"/>
                <w:sz w:val="24"/>
                <w:szCs w:val="24"/>
              </w:rPr>
            </w:pPr>
            <w:sdt>
              <w:sdtPr>
                <w:id w:val="1613994669"/>
                <w:tag w:val="goog_rdk_10"/>
              </w:sdtPr>
              <w:sdtContent>
                <w:r w:rsidDel="00000000" w:rsidR="00000000" w:rsidRPr="00000000">
                  <w:rPr>
                    <w:rFonts w:ascii="Arial Unicode MS" w:cs="Arial Unicode MS" w:eastAsia="Arial Unicode MS" w:hAnsi="Arial Unicode MS"/>
                    <w:color w:val="262626"/>
                    <w:sz w:val="24"/>
                    <w:szCs w:val="24"/>
                    <w:rtl w:val="0"/>
                  </w:rPr>
                  <w:t xml:space="preserve">≤ 3 %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Monitorización seriada del panel de coagulación en CID manifiesta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pacientes con CID manifiesta en quienes se repitió el panel de coagulación al menos cada 12 horas durante las primeras 48 horas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rFonts w:ascii="Arial" w:cs="Arial" w:eastAsia="Arial" w:hAnsi="Arial"/>
                <w:color w:val="262626"/>
                <w:sz w:val="24"/>
                <w:szCs w:val="24"/>
              </w:rPr>
            </w:pPr>
            <w:sdt>
              <w:sdtPr>
                <w:id w:val="1148525120"/>
                <w:tag w:val="goog_rdk_11"/>
              </w:sdtPr>
              <w:sdtContent>
                <w:r w:rsidDel="00000000" w:rsidR="00000000" w:rsidRPr="00000000">
                  <w:rPr>
                    <w:rFonts w:ascii="Arial Unicode MS" w:cs="Arial Unicode MS" w:eastAsia="Arial Unicode MS" w:hAnsi="Arial Unicode MS"/>
                    <w:color w:val="262626"/>
                    <w:sz w:val="24"/>
                    <w:szCs w:val="24"/>
                    <w:rtl w:val="0"/>
                  </w:rPr>
                  <w:t xml:space="preserve">≥ 85 %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Diagnóstico diferencial documentado en el concepto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tele-experticias con sospecha de CID que incluyen descarte de hepatopatía grave, PTT y TIH en el concepto emitido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rFonts w:ascii="Arial" w:cs="Arial" w:eastAsia="Arial" w:hAnsi="Arial"/>
                <w:color w:val="262626"/>
                <w:sz w:val="24"/>
                <w:szCs w:val="24"/>
              </w:rPr>
            </w:pPr>
            <w:sdt>
              <w:sdtPr>
                <w:id w:val="1990730194"/>
                <w:tag w:val="goog_rdk_12"/>
              </w:sdtPr>
              <w:sdtContent>
                <w:r w:rsidDel="00000000" w:rsidR="00000000" w:rsidRPr="00000000">
                  <w:rPr>
                    <w:rFonts w:ascii="Arial Unicode MS" w:cs="Arial Unicode MS" w:eastAsia="Arial Unicode MS" w:hAnsi="Arial Unicode MS"/>
                    <w:color w:val="262626"/>
                    <w:sz w:val="24"/>
                    <w:szCs w:val="24"/>
                    <w:rtl w:val="0"/>
                  </w:rPr>
                  <w:t xml:space="preserve">≥ 90 %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Reevaluación del score ISTH durante la hospitalización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pacientes con CID manifiesta en quienes se documentó al menos una reevaluación del score ISTH dentro de las 24 horas siguientes al diagnóstico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rFonts w:ascii="Arial" w:cs="Arial" w:eastAsia="Arial" w:hAnsi="Arial"/>
                <w:color w:val="262626"/>
                <w:sz w:val="24"/>
                <w:szCs w:val="24"/>
              </w:rPr>
            </w:pPr>
            <w:sdt>
              <w:sdtPr>
                <w:id w:val="-1161450172"/>
                <w:tag w:val="goog_rdk_13"/>
              </w:sdtPr>
              <w:sdtContent>
                <w:r w:rsidDel="00000000" w:rsidR="00000000" w:rsidRPr="00000000">
                  <w:rPr>
                    <w:rFonts w:ascii="Arial Unicode MS" w:cs="Arial Unicode MS" w:eastAsia="Arial Unicode MS" w:hAnsi="Arial Unicode MS"/>
                    <w:color w:val="262626"/>
                    <w:sz w:val="24"/>
                    <w:szCs w:val="24"/>
                    <w:rtl w:val="0"/>
                  </w:rPr>
                  <w:t xml:space="preserve">≥ 85 %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Completitud del registro de tele-experticia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tele-experticias con registro completo en historia clínica (solicitud, score ISTH, concepto, conducta adoptada)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rFonts w:ascii="Arial" w:cs="Arial" w:eastAsia="Arial" w:hAnsi="Arial"/>
                <w:color w:val="262626"/>
                <w:sz w:val="24"/>
                <w:szCs w:val="24"/>
              </w:rPr>
            </w:pPr>
            <w:sdt>
              <w:sdtPr>
                <w:id w:val="272803639"/>
                <w:tag w:val="goog_rdk_14"/>
              </w:sdtPr>
              <w:sdtContent>
                <w:r w:rsidDel="00000000" w:rsidR="00000000" w:rsidRPr="00000000">
                  <w:rPr>
                    <w:rFonts w:ascii="Arial Unicode MS" w:cs="Arial Unicode MS" w:eastAsia="Arial Unicode MS" w:hAnsi="Arial Unicode MS"/>
                    <w:color w:val="262626"/>
                    <w:sz w:val="24"/>
                    <w:szCs w:val="24"/>
                    <w:rtl w:val="0"/>
                  </w:rPr>
                  <w:t xml:space="preserve">≥ 95 %</w:t>
                </w:r>
              </w:sdtContent>
            </w:sdt>
          </w:p>
        </w:tc>
      </w:tr>
    </w:tbl>
    <w:p w:rsidR="00000000" w:rsidDel="00000000" w:rsidP="00000000" w:rsidRDefault="00000000" w:rsidRPr="00000000" w14:paraId="000000B9">
      <w:pPr>
        <w:rPr>
          <w:rFonts w:ascii="Arial" w:cs="Arial" w:eastAsia="Arial" w:hAnsi="Arial"/>
          <w:i w:val="1"/>
          <w:iCs w:val="1"/>
          <w:color w:val="262626"/>
          <w:sz w:val="24"/>
          <w:szCs w:val="24"/>
        </w:rPr>
      </w:pPr>
      <w:r w:rsidDel="00000000" w:rsidR="00000000" w:rsidRPr="00000000">
        <w:rPr>
          <w:rFonts w:ascii="Arial" w:cs="Arial" w:eastAsia="Arial" w:hAnsi="Arial"/>
          <w:i w:val="1"/>
          <w:iCs w:val="1"/>
          <w:color w:val="262626"/>
          <w:sz w:val="24"/>
          <w:szCs w:val="24"/>
          <w:rtl w:val="0"/>
        </w:rPr>
        <w:t xml:space="preserve">Tabla 3. Indicadores de calidad y seguimiento del programa de tele-experticia para CID.</w:t>
      </w:r>
    </w:p>
    <w:p w:rsidR="00000000" w:rsidDel="00000000" w:rsidP="00000000" w:rsidRDefault="00000000" w:rsidRPr="00000000" w14:paraId="000000BA">
      <w:pPr>
        <w:rPr>
          <w:rFonts w:ascii="Arial" w:cs="Arial" w:eastAsia="Arial" w:hAnsi="Arial"/>
          <w:i w:val="1"/>
          <w:iCs w:val="1"/>
          <w:color w:val="262626"/>
          <w:sz w:val="24"/>
          <w:szCs w:val="24"/>
        </w:rPr>
      </w:pPr>
      <w:r w:rsidDel="00000000" w:rsidR="00000000" w:rsidRPr="00000000">
        <w:rPr>
          <w:rtl w:val="0"/>
        </w:rPr>
      </w:r>
    </w:p>
    <w:p w:rsidR="00000000" w:rsidDel="00000000" w:rsidP="00000000" w:rsidRDefault="00000000" w:rsidRPr="00000000" w14:paraId="000000BB">
      <w:pPr>
        <w:rPr>
          <w:rFonts w:ascii="Arial" w:cs="Arial" w:eastAsia="Arial" w:hAnsi="Arial"/>
          <w:color w:val="262626"/>
          <w:sz w:val="24"/>
          <w:szCs w:val="24"/>
        </w:rPr>
      </w:pPr>
      <w:r w:rsidDel="00000000" w:rsidR="00000000" w:rsidRPr="00000000">
        <w:rPr>
          <w:rtl w:val="0"/>
        </w:rPr>
      </w:r>
    </w:p>
    <w:p w:rsidR="00000000" w:rsidDel="00000000" w:rsidP="00000000" w:rsidRDefault="00000000" w:rsidRPr="00000000" w14:paraId="000000BC">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Bibliografía</w:t>
      </w:r>
    </w:p>
    <w:p w:rsidR="00000000" w:rsidDel="00000000" w:rsidP="00000000" w:rsidRDefault="00000000" w:rsidRPr="00000000" w14:paraId="000000BD">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1. Costello RA, Leslie SW, Nehring SM. Disseminated Intravascular Coagulation. In: StatPearls. Updated May 1, 2024. NCBI Bookshelf NBK441834.</w:t>
      </w:r>
    </w:p>
    <w:p w:rsidR="00000000" w:rsidDel="00000000" w:rsidP="00000000" w:rsidRDefault="00000000" w:rsidRPr="00000000" w14:paraId="000000BE">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2. Updated definition and scoring of disseminated intravascular coagulation in 2025: communication from the ISTH SSC Subcommittee on DIC. J Thromb Haemost. 2025. doi:10.1016/S1538-7836(25)00220-X</w:t>
      </w:r>
    </w:p>
    <w:p w:rsidR="00000000" w:rsidDel="00000000" w:rsidP="00000000" w:rsidRDefault="00000000" w:rsidRPr="00000000" w14:paraId="000000BF">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3. Iba T, Levy JH, Warkentin TE, et al. Diagnosis and management of sepsis-induced coagulopathy and disseminated intravascular coagulation. J Thromb Haemost. 2019;17(11):1989–1994.</w:t>
      </w:r>
    </w:p>
    <w:p w:rsidR="00000000" w:rsidDel="00000000" w:rsidP="00000000" w:rsidRDefault="00000000" w:rsidRPr="00000000" w14:paraId="000000C0">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4. Levi M, Toh CH, Thachil J, Watson HG. Guidelines for the diagnosis and management of disseminated intravascular coagulation (BCSH). Br J Haematol. 2009;145(1):24–33.</w:t>
      </w:r>
    </w:p>
    <w:p w:rsidR="00000000" w:rsidDel="00000000" w:rsidP="00000000" w:rsidRDefault="00000000" w:rsidRPr="00000000" w14:paraId="000000C1">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5. Iba T, Arakawa M, Di Nisio M, et al. Guidance for diagnosis and treatment of disseminated intravascular coagulation from harmonization of the recommendations from three guidelines. J Thromb Haemost. 2013.</w:t>
      </w:r>
    </w:p>
    <w:p w:rsidR="00000000" w:rsidDel="00000000" w:rsidP="00000000" w:rsidRDefault="00000000" w:rsidRPr="00000000" w14:paraId="000000C2">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6. Mortality, diagnosis, and etiology of DIC — a systematic review and meta-analysis: communication from the ISTH SSC Subcommittee on DIC. J Thromb Haemost. 2025.</w:t>
      </w:r>
    </w:p>
    <w:p w:rsidR="00000000" w:rsidDel="00000000" w:rsidP="00000000" w:rsidRDefault="00000000" w:rsidRPr="00000000" w14:paraId="000000C3">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7. Kawano N, Ikezoe T, et al. Clinical practice guidelines for management of DIC in Japan 2024. Part 2: hematologic malignancy. Int J Hematol. 2025;121(5):605–621.</w:t>
      </w:r>
    </w:p>
    <w:p w:rsidR="00000000" w:rsidDel="00000000" w:rsidP="00000000" w:rsidRDefault="00000000" w:rsidRPr="00000000" w14:paraId="000000C4">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8. Paterno G, Palmieri R, et al. The ISTH DIC-score predicts early mortality in patients with non-promyelocytic acute myeloid leukemia. Thromb Res. 2024;236:30–36.</w:t>
      </w:r>
    </w:p>
    <w:p w:rsidR="00000000" w:rsidDel="00000000" w:rsidP="00000000" w:rsidRDefault="00000000" w:rsidRPr="00000000" w14:paraId="000000C5">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9. Taylor FB Jr, Toh CH, Hoots WK, Wada H, Levi M. Towards definition, clinical and laboratory criteria, and a scoring system for disseminated intravascular coagulation. Thromb Haemost. 2001;86:1327–1330.</w:t>
      </w:r>
    </w:p>
    <w:p w:rsidR="00000000" w:rsidDel="00000000" w:rsidP="00000000" w:rsidRDefault="00000000" w:rsidRPr="00000000" w14:paraId="000000C6">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10. Resolución 2654 de 2019. Por la cual se regula la prestación de servicios de salud a través de la modalidad de telesalud. Ministerio de Salud y Protección Social, Colombia.</w:t>
      </w:r>
    </w:p>
    <w:p w:rsidR="00000000" w:rsidDel="00000000" w:rsidP="00000000" w:rsidRDefault="00000000" w:rsidRPr="00000000" w14:paraId="000000C7">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11. Ley 1419 de 2010. Por medio de la cual se establece la Política Nacional de Telesalud. Colombia.</w:t>
      </w:r>
    </w:p>
    <w:p w:rsidR="00000000" w:rsidDel="00000000" w:rsidP="00000000" w:rsidRDefault="00000000" w:rsidRPr="00000000" w14:paraId="000000C8">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12. Ley 1581 de 2012. Por la cual se dictan disposiciones generales para la protección de datos personales en Colombia.</w:t>
      </w:r>
    </w:p>
    <w:p w:rsidR="00000000" w:rsidDel="00000000" w:rsidP="00000000" w:rsidRDefault="00000000" w:rsidRPr="00000000" w14:paraId="000000C9">
      <w:pPr>
        <w:rPr>
          <w:rFonts w:ascii="Arial" w:cs="Arial" w:eastAsia="Arial" w:hAnsi="Arial"/>
          <w:color w:val="262626"/>
          <w:sz w:val="24"/>
          <w:szCs w:val="24"/>
        </w:rPr>
      </w:pPr>
      <w:r w:rsidDel="00000000" w:rsidR="00000000" w:rsidRPr="00000000">
        <w:rPr>
          <w:rtl w:val="0"/>
        </w:rPr>
      </w:r>
    </w:p>
    <w:p w:rsidR="00000000" w:rsidDel="00000000" w:rsidP="00000000" w:rsidRDefault="00000000" w:rsidRPr="00000000" w14:paraId="000000CA">
      <w:pPr>
        <w:rPr>
          <w:rFonts w:ascii="Arial" w:cs="Arial" w:eastAsia="Arial" w:hAnsi="Arial"/>
          <w:color w:val="262626"/>
          <w:sz w:val="24"/>
          <w:szCs w:val="24"/>
        </w:rPr>
      </w:pPr>
      <w:r w:rsidDel="00000000" w:rsidR="00000000" w:rsidRPr="00000000">
        <w:rPr>
          <w:rFonts w:ascii="Arial" w:cs="Arial" w:eastAsia="Arial" w:hAnsi="Arial"/>
          <w:i w:val="1"/>
          <w:iCs w:val="1"/>
          <w:color w:val="262626"/>
          <w:sz w:val="24"/>
          <w:szCs w:val="24"/>
          <w:rtl w:val="0"/>
        </w:rPr>
        <w:t xml:space="preserve">“Este es un protocolo que se basa en la atención de coagulación intravascular diseminada, en primer y segundo nivel, para el plan de seguimiento por telemedicina, no pretende sustituir guías de práctica clínica “ </w:t>
      </w:r>
      <w:r w:rsidDel="00000000" w:rsidR="00000000" w:rsidRPr="00000000">
        <w:rPr>
          <w:rtl w:val="0"/>
        </w:rPr>
      </w:r>
    </w:p>
    <w:p w:rsidR="00000000" w:rsidDel="00000000" w:rsidP="00000000" w:rsidRDefault="00000000" w:rsidRPr="00000000" w14:paraId="000000CB">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Realiza: Raúl Eduardo Walteros</w:t>
      </w:r>
      <w:r w:rsidDel="00000000" w:rsidR="00000000" w:rsidRPr="00000000">
        <w:rPr>
          <w:rFonts w:ascii="Arial" w:cs="Arial" w:eastAsia="Arial" w:hAnsi="Arial"/>
          <w:color w:val="262626"/>
          <w:sz w:val="24"/>
          <w:szCs w:val="24"/>
          <w:rtl w:val="0"/>
        </w:rPr>
        <w:t xml:space="preserve">. </w:t>
      </w:r>
      <w:r w:rsidDel="00000000" w:rsidR="00000000" w:rsidRPr="00000000">
        <w:rPr>
          <w:rFonts w:ascii="Arial" w:cs="Arial" w:eastAsia="Arial" w:hAnsi="Arial"/>
          <w:b w:val="1"/>
          <w:bCs w:val="1"/>
          <w:color w:val="262626"/>
          <w:sz w:val="24"/>
          <w:szCs w:val="24"/>
          <w:rtl w:val="0"/>
        </w:rPr>
        <w:t xml:space="preserve">Médico hematólogo. </w:t>
      </w:r>
      <w:r w:rsidDel="00000000" w:rsidR="00000000" w:rsidRPr="00000000">
        <w:rPr>
          <w:rtl w:val="0"/>
        </w:rPr>
      </w:r>
    </w:p>
    <w:p w:rsidR="00000000" w:rsidDel="00000000" w:rsidP="00000000" w:rsidRDefault="00000000" w:rsidRPr="00000000" w14:paraId="000000CC">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Revisado: José Guillermo Ruiz Rodríguez</w:t>
      </w:r>
    </w:p>
    <w:p w:rsidR="00000000" w:rsidDel="00000000" w:rsidP="00000000" w:rsidRDefault="00000000" w:rsidRPr="00000000" w14:paraId="000000CD">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E">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F">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0">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1">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2">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3">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4">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5">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6">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7">
      <w:pPr>
        <w:jc w:val="center"/>
        <w:rPr>
          <w:rFonts w:ascii="Arial" w:cs="Arial" w:eastAsia="Arial" w:hAnsi="Arial"/>
          <w:color w:val="ff0000"/>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Página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ff0000"/>
        <w:sz w:val="24"/>
        <w:szCs w:val="24"/>
      </w:rPr>
    </w:pPr>
    <w:r w:rsidDel="00000000" w:rsidR="00000000" w:rsidRPr="00000000">
      <w:rPr>
        <w:rtl w:val="0"/>
      </w:rPr>
    </w:r>
  </w:p>
  <w:tbl>
    <w:tblPr>
      <w:tblStyle w:val="Table4"/>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19052</wp:posOffset>
                </wp:positionH>
                <wp:positionV relativeFrom="paragraph">
                  <wp:posOffset>-12698</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Protocolo Tele-Experticia de CID</w:t>
          </w:r>
          <w:r w:rsidDel="00000000" w:rsidR="00000000" w:rsidRPr="00000000">
            <w:rPr>
              <w:rtl w:val="0"/>
            </w:rPr>
          </w:r>
        </w:p>
      </w:tc>
    </w:tr>
    <w:tr>
      <w:trPr>
        <w:cantSplit w:val="0"/>
        <w:trHeight w:val="372" w:hRule="atLeast"/>
        <w:tblHeader w:val="0"/>
      </w:trPr>
      <w:tc>
        <w:tcPr>
          <w:vMerge w:val="continue"/>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gridSpan w:val="3"/>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Código: IN-FR-87</w:t>
          </w:r>
        </w:p>
      </w:tc>
      <w:tc>
        <w:tcP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Vigente desde: 2025-06-25</w:t>
          </w:r>
        </w:p>
      </w:tc>
      <w:tc>
        <w:tcPr>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Versión: 001</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62626"/>
      <w:sz w:val="32"/>
      <w:szCs w:val="32"/>
    </w:rPr>
  </w:style>
  <w:style w:type="paragraph" w:styleId="Heading2">
    <w:name w:val="heading 2"/>
    <w:basedOn w:val="Normal"/>
    <w:next w:val="Normal"/>
    <w:pPr>
      <w:keepNext w:val="1"/>
      <w:keepLines w:val="1"/>
      <w:spacing w:after="0" w:before="40" w:lineRule="auto"/>
    </w:pPr>
    <w:rPr>
      <w:color w:val="262626"/>
      <w:sz w:val="28"/>
      <w:szCs w:val="28"/>
    </w:rPr>
  </w:style>
  <w:style w:type="paragraph" w:styleId="Heading3">
    <w:name w:val="heading 3"/>
    <w:basedOn w:val="Normal"/>
    <w:next w:val="Normal"/>
    <w:pPr>
      <w:keepNext w:val="1"/>
      <w:keepLines w:val="1"/>
      <w:spacing w:after="0" w:before="40" w:lineRule="auto"/>
    </w:pPr>
    <w:rPr>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j9CIcE8HISaUbD0YTmzT1UJJQ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gAciExdEVfVGs1WGpQaHM2bnhncXdRaEprR3ZXU0E2azViM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