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02">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Protocolo para la Prestación del Servicio de Tele-Experticia en microangiopatía trombótica</w:t>
      </w:r>
    </w:p>
    <w:p w:rsidR="00000000" w:rsidDel="00000000" w:rsidP="00000000" w:rsidRDefault="00000000" w:rsidRPr="00000000" w14:paraId="00000003">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Introducción </w:t>
      </w:r>
    </w:p>
    <w:p w:rsidR="00000000" w:rsidDel="00000000" w:rsidP="00000000" w:rsidRDefault="00000000" w:rsidRPr="00000000" w14:paraId="00000004">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microangiopatía trombótica (MAT)</w:t>
      </w:r>
      <w:r w:rsidDel="00000000" w:rsidR="00000000" w:rsidRPr="00000000">
        <w:rPr>
          <w:rFonts w:ascii="Arial" w:cs="Arial" w:eastAsia="Arial" w:hAnsi="Arial"/>
          <w:b w:val="1"/>
          <w:bCs w:val="1"/>
          <w:color w:val="000000"/>
          <w:sz w:val="24"/>
          <w:szCs w:val="24"/>
          <w:rtl w:val="0"/>
        </w:rPr>
        <w:t xml:space="preserve"> </w:t>
      </w:r>
      <w:r w:rsidDel="00000000" w:rsidR="00000000" w:rsidRPr="00000000">
        <w:rPr>
          <w:rFonts w:ascii="Arial" w:cs="Arial" w:eastAsia="Arial" w:hAnsi="Arial"/>
          <w:color w:val="000000"/>
          <w:sz w:val="24"/>
          <w:szCs w:val="24"/>
          <w:rtl w:val="0"/>
        </w:rPr>
        <w:t xml:space="preserve">es una emergencia médica de alta mortalidad que se caracteriza por la tríada de anemia hemolítica microangiopática (AHMA), trombocitopenia y daño orgánico isquémico. Aunque infrecuente, su reconocimiento tardío conduce invariablemente a daño orgánico irreversible o muerte: la púrpura trombocitopénica trombótica inmune (iTTP) tiene una mortalidad cercana al 90 % sin tratamiento, y el síndrome hemolítico-urémico atípico (SHUa) conduce a insuficiencia renal crónica terminal en más del 50 % de los casos sin terapia con inhibidores del complemento.</w:t>
      </w:r>
    </w:p>
    <w:p w:rsidR="00000000" w:rsidDel="00000000" w:rsidP="00000000" w:rsidRDefault="00000000" w:rsidRPr="00000000" w14:paraId="00000005">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El manejo de la MAT exige un enfoque multidisciplinario urgente que integra el diagnóstico etiológico diferencial entre múltiples entidades con tratamientos radicalmente distintos el recambio plasmático terapéutico (RPT) es el pilar en iTTP pero no en SHUa—, la aplicación del PLASMIC score para estratificación del riesgo, y el inicio de tratamientos de alta complejidad (caplacizumab, eculizumab, rituximab) que con frecuencia no están disponibles en el primer y segundo nivel de atención.</w:t>
      </w:r>
    </w:p>
    <w:p w:rsidR="00000000" w:rsidDel="00000000" w:rsidP="00000000" w:rsidRDefault="00000000" w:rsidRPr="00000000" w14:paraId="00000006">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tele-experticia se convierte en este contexto en una herramienta crítica: permite al equipo tratante presencial acceder en tiempo real a orientación especializada en hematología y nefrología para la confirmación de la sospecha diagnóstica, la aplicación del algoritmo PLASMIC, la toma de muestras correctas antes de iniciar cualquier tratamiento, y la definición urgente de los casos que requieren remisión para RPT, inhibidores del complemento u otras intervenciones de mayor complejidad. El presente protocolo establece los lineamientos operativos para dicha prestación.</w:t>
      </w:r>
    </w:p>
    <w:p w:rsidR="00000000" w:rsidDel="00000000" w:rsidP="00000000" w:rsidRDefault="00000000" w:rsidRPr="00000000" w14:paraId="00000007">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Objetivo General</w:t>
      </w:r>
    </w:p>
    <w:p w:rsidR="00000000" w:rsidDel="00000000" w:rsidP="00000000" w:rsidRDefault="00000000" w:rsidRPr="00000000" w14:paraId="00000008">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Establecer los lineamientos operativos, asistenciales y clínicos para la prestación del servicio de tele-experticia en el manejo de la microangiopatía trombótica, apoyando el reconocimiento precoz de la tríada diagnóstica, la aplicación del score PLASMIC, la toma de muestras críticas previas al tratamiento, la orientación del diagnóstico diferencial entre las principales entidades (iTTP, SHUa, STEC-HUS, MAT secundaria) y la definición urgente de la necesidad de remisión para terapias de alta complejidad, con el fin de reducir la mortalidad prevenible y el daño orgánico irreversible derivados del reconocimiento tardío o del manejo inadecuado de esta condición en todos los niveles del sistema de salud colombiano.</w:t>
      </w:r>
    </w:p>
    <w:p w:rsidR="00000000" w:rsidDel="00000000" w:rsidP="00000000" w:rsidRDefault="00000000" w:rsidRPr="00000000" w14:paraId="00000009">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Objetivos Específicos</w:t>
      </w:r>
    </w:p>
    <w:p w:rsidR="00000000" w:rsidDel="00000000" w:rsidP="00000000" w:rsidRDefault="00000000" w:rsidRPr="00000000" w14:paraId="0000000A">
      <w:pPr>
        <w:numPr>
          <w:ilvl w:val="0"/>
          <w:numId w:val="8"/>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Estandarizar el proceso de solicitud, respuesta, registro y seguimiento de la tele-experticia dentro del programa de hematología y medicina transfusional para pacientes con sospecha o diagnóstico de MAT.</w:t>
      </w:r>
    </w:p>
    <w:p w:rsidR="00000000" w:rsidDel="00000000" w:rsidP="00000000" w:rsidRDefault="00000000" w:rsidRPr="00000000" w14:paraId="0000000B">
      <w:pPr>
        <w:numPr>
          <w:ilvl w:val="0"/>
          <w:numId w:val="8"/>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Definir las acciones inmediatas que debe ejecutar el médico tratante y el personal de salud presencial ante la sospecha de MAT: toma de muestras críticas (ADAMTS13, frotis, coprocultivo, Coombs directo) antes de iniciar cualquier transfusión o recambio plasmático.</w:t>
      </w:r>
    </w:p>
    <w:p w:rsidR="00000000" w:rsidDel="00000000" w:rsidP="00000000" w:rsidRDefault="00000000" w:rsidRPr="00000000" w14:paraId="0000000C">
      <w:pPr>
        <w:numPr>
          <w:ilvl w:val="0"/>
          <w:numId w:val="8"/>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Orientar la aplicación del PLASMIC score para estimar la probabilidad de iTTP y guiar la decisión de iniciar recambio plasmático terapéutico empírico, caplacizumab y rituximab antes de disponer del resultado de ADAMTS13.</w:t>
      </w:r>
    </w:p>
    <w:p w:rsidR="00000000" w:rsidDel="00000000" w:rsidP="00000000" w:rsidRDefault="00000000" w:rsidRPr="00000000" w14:paraId="0000000D">
      <w:pPr>
        <w:numPr>
          <w:ilvl w:val="0"/>
          <w:numId w:val="8"/>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Apoyar la clasificación etiológica diferencial entre las principales formas de MAT (iTTP, cTTP, STEC-HUS, SHUa/CM-TMA, MAT asociada a trasplante, MAT secundaria) y la selección del tratamiento específico según la etiología.</w:t>
      </w:r>
    </w:p>
    <w:p w:rsidR="00000000" w:rsidDel="00000000" w:rsidP="00000000" w:rsidRDefault="00000000" w:rsidRPr="00000000" w14:paraId="0000000E">
      <w:pPr>
        <w:numPr>
          <w:ilvl w:val="0"/>
          <w:numId w:val="8"/>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Establecer los criterios clínicos para identificar los casos que requieren remisión urgente a un centro con capacidad de RPT, aféresis, eculizumab o cuidados intensivos.</w:t>
      </w:r>
    </w:p>
    <w:p w:rsidR="00000000" w:rsidDel="00000000" w:rsidP="00000000" w:rsidRDefault="00000000" w:rsidRPr="00000000" w14:paraId="0000000F">
      <w:pPr>
        <w:numPr>
          <w:ilvl w:val="0"/>
          <w:numId w:val="8"/>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Garantizar que la atención mediante tele-experticia cumpla con los estándares de calidad, seguridad, confidencialidad, trazabilidad y normatividad colombiana vigente.</w:t>
      </w:r>
    </w:p>
    <w:p w:rsidR="00000000" w:rsidDel="00000000" w:rsidP="00000000" w:rsidRDefault="00000000" w:rsidRPr="00000000" w14:paraId="00000010">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Alcance</w:t>
      </w:r>
    </w:p>
    <w:p w:rsidR="00000000" w:rsidDel="00000000" w:rsidP="00000000" w:rsidRDefault="00000000" w:rsidRPr="00000000" w14:paraId="00000011">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Este protocolo aplica a todos los profesionales de la salud que atienden pacientes con sospecha de MAT en cualquier nivel de atención, incluyendo médicos generales, médicos internistas, nefrólogos, hematólogos, personal de enfermería, coordinadores del programa y equipos de soporte tecnológico y de calidad. Su ámbito de aplicación comprende:</w:t>
      </w:r>
    </w:p>
    <w:p w:rsidR="00000000" w:rsidDel="00000000" w:rsidP="00000000" w:rsidRDefault="00000000" w:rsidRPr="00000000" w14:paraId="00000012">
      <w:pPr>
        <w:numPr>
          <w:ilvl w:val="0"/>
          <w:numId w:val="9"/>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El reconocimiento de la tríada diagnóstica de MAT (AHMA + trombocitopenia + daño orgánico) y la exclusión de los diagnósticos diferenciales críticos (CID: Coombs directo negativo y coagulación normal; anemia hemolítica autoinmune: Coombs directo negativo con esquistocitos).</w:t>
      </w:r>
    </w:p>
    <w:p w:rsidR="00000000" w:rsidDel="00000000" w:rsidP="00000000" w:rsidRDefault="00000000" w:rsidRPr="00000000" w14:paraId="00000013">
      <w:pPr>
        <w:numPr>
          <w:ilvl w:val="0"/>
          <w:numId w:val="9"/>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toma de muestras críticas antes de iniciar cualquier transfusión o recambio plasmático: actividad de ADAMTS13 e inhibidor, frotis de sangre periférica con búsqueda de esquistocitos, coprocultivo y PCR para STEC, Coombs directo, coagulación completa, función renal y test de embarazo en mujer en edad fértil.</w:t>
      </w:r>
    </w:p>
    <w:p w:rsidR="00000000" w:rsidDel="00000000" w:rsidP="00000000" w:rsidRDefault="00000000" w:rsidRPr="00000000" w14:paraId="00000014">
      <w:pPr>
        <w:numPr>
          <w:ilvl w:val="0"/>
          <w:numId w:val="9"/>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aplicación e interpretación del score PLASMIC para estimar la probabilidad de iTTP y guiar la decisión de tratamiento empírico.</w:t>
      </w:r>
    </w:p>
    <w:p w:rsidR="00000000" w:rsidDel="00000000" w:rsidP="00000000" w:rsidRDefault="00000000" w:rsidRPr="00000000" w14:paraId="00000015">
      <w:pPr>
        <w:numPr>
          <w:ilvl w:val="0"/>
          <w:numId w:val="9"/>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orientación clínica para el diagnóstico diferencial entre iTTP, SHUa/CM-TMA, STEC-HUS y MAT secundaria, y la selección del tratamiento específico.</w:t>
      </w:r>
    </w:p>
    <w:p w:rsidR="00000000" w:rsidDel="00000000" w:rsidP="00000000" w:rsidRDefault="00000000" w:rsidRPr="00000000" w14:paraId="00000016">
      <w:pPr>
        <w:numPr>
          <w:ilvl w:val="0"/>
          <w:numId w:val="9"/>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definición de criterios de remisión urgente a un centro con capacidad de RPT, eculizumab/ravulizumab, cuidados intensivos y diagnóstico especializado de complemento.</w:t>
      </w:r>
    </w:p>
    <w:p w:rsidR="00000000" w:rsidDel="00000000" w:rsidP="00000000" w:rsidRDefault="00000000" w:rsidRPr="00000000" w14:paraId="00000017">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Marco Normativo</w:t>
      </w:r>
    </w:p>
    <w:p w:rsidR="00000000" w:rsidDel="00000000" w:rsidP="00000000" w:rsidRDefault="00000000" w:rsidRPr="00000000" w14:paraId="00000018">
      <w:pPr>
        <w:numPr>
          <w:ilvl w:val="0"/>
          <w:numId w:val="1"/>
        </w:numPr>
        <w:spacing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Resolución 3280 de 2018: Rutas Integrales de Atención en Salud (RIAS).</w:t>
      </w:r>
    </w:p>
    <w:p w:rsidR="00000000" w:rsidDel="00000000" w:rsidP="00000000" w:rsidRDefault="00000000" w:rsidRPr="00000000" w14:paraId="00000019">
      <w:pPr>
        <w:numPr>
          <w:ilvl w:val="0"/>
          <w:numId w:val="1"/>
        </w:numPr>
        <w:spacing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Ley 1751 de 2015: Ley Estatutaria de Salud (Garantía de atención de urgencias sin barreras).</w:t>
      </w:r>
    </w:p>
    <w:p w:rsidR="00000000" w:rsidDel="00000000" w:rsidP="00000000" w:rsidRDefault="00000000" w:rsidRPr="00000000" w14:paraId="0000001A">
      <w:pPr>
        <w:numPr>
          <w:ilvl w:val="0"/>
          <w:numId w:val="1"/>
        </w:numPr>
        <w:spacing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Resolución 2654 de 2019: Regula la telesalud y telemedicina en Colombia.</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Resolución 3100 de 2019: Define los estándares de habilitación en salud.</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Ley 1419 de 2010: Establece la Política Nacional de Telesalud y dicta otras disposiciones.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Ley 1581 de 2012: Protección de Datos Personales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Decreto 538 de 2020: Medidas de Telemedicina para emergencias sanitarias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Guías Ministerio de Salud y Protección Social en Telesalud</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presente protocolo se sustenta en la siguiente normatividad colombiana e internacional vigente</w:t>
      </w:r>
      <w:r w:rsidDel="00000000" w:rsidR="00000000" w:rsidRPr="00000000">
        <w:rPr>
          <w:rtl w:val="0"/>
        </w:rPr>
      </w:r>
    </w:p>
    <w:p w:rsidR="00000000" w:rsidDel="00000000" w:rsidP="00000000" w:rsidRDefault="00000000" w:rsidRPr="00000000" w14:paraId="00000021">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Definiciones</w:t>
      </w:r>
    </w:p>
    <w:p w:rsidR="00000000" w:rsidDel="00000000" w:rsidP="00000000" w:rsidRDefault="00000000" w:rsidRPr="00000000" w14:paraId="0000002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Telesalud: Conjunto de actividades relacionadas con la salud, servicios y métodos llevados a cabo a distancia con la ayuda de las tecnologías de la información y telecomunicaciones. Incluye, entre otras, la Telemedicina y la Teleeducación en salud.</w:t>
      </w:r>
    </w:p>
    <w:p w:rsidR="00000000" w:rsidDel="00000000" w:rsidP="00000000" w:rsidRDefault="00000000" w:rsidRPr="00000000" w14:paraId="0000002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Teleapoyo: Soporte solicitado por un profesional de la salud a otro a través de tecnologías de la información y comunicaciones, en el marco del relacionamiento entre instituciones prestadoras de servicios de salud.</w:t>
      </w:r>
    </w:p>
    <w:p w:rsidR="00000000" w:rsidDel="00000000" w:rsidP="00000000" w:rsidRDefault="00000000" w:rsidRPr="00000000" w14:paraId="000000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Tele-experticia: Relación a distancia mediante comunicación sincrónica o asincrónica para la provisión de servicios de salud, utilizando tecnologías de información y comunicación entre: a) dos profesionales de la salud, uno presencial y otro a distancia; b) profesionales en junta médica; o c) personal de salud no profesional que solicita apoyo de un profesional para la toma de decisiones clínicas.</w:t>
      </w:r>
    </w:p>
    <w:p w:rsidR="00000000" w:rsidDel="00000000" w:rsidP="00000000" w:rsidRDefault="00000000" w:rsidRPr="00000000" w14:paraId="0000002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Atención ambulatoria: Modalidad de atención en salud en la que la valoración, el seguimiento, la formulación, el ajuste terapéutico y el monitoreo clínico se realizan sin requerir hospitalización. </w:t>
      </w:r>
    </w:p>
    <w:p w:rsidR="00000000" w:rsidDel="00000000" w:rsidP="00000000" w:rsidRDefault="00000000" w:rsidRPr="00000000" w14:paraId="000000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Atención hospitalaria: Modalidad de atención en salud en la que la valoración, el seguimiento, la formulación, el ajuste terapéutico y el monitoreo clínico se realizan en entorno de hospitalización. </w:t>
      </w:r>
    </w:p>
    <w:p w:rsidR="00000000" w:rsidDel="00000000" w:rsidP="00000000" w:rsidRDefault="00000000" w:rsidRPr="00000000" w14:paraId="000000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Microangiopatía trombótica (MAT): Diagnóstico anatomopatológico que describe daño endotelial con oclusión vascular microvascular y formación de trombos intraluminales ricos en plaquetas. Clínicamente se caracteriza por la tríada: anemia hemolítica microangiopática (AHMA) asociado a trombocitopenia más daño orgánico isquémico (renal, neurológico, cardiovascular). Coombs directo negativo y sin trastornos de la coagulación. </w:t>
      </w:r>
    </w:p>
    <w:p w:rsidR="00000000" w:rsidDel="00000000" w:rsidP="00000000" w:rsidRDefault="00000000" w:rsidRPr="00000000" w14:paraId="0000002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sdt>
        <w:sdtPr>
          <w:id w:val="349481444"/>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iTTP (púrpura trombocitopénica trombótica inmune): MAT por autoanticuerpos IgG anti-ADAMTS13 que generan deficiencia grave de esta metaloproteasa (actividad &lt; 10 %). Emergencia hematológica con mortalidad cercana a 90 % sin tratamiento. El PLASMIC  score ≥ 6 es altamente sugestivo. </w:t>
          </w:r>
        </w:sdtContent>
      </w:sdt>
    </w:p>
    <w:p w:rsidR="00000000" w:rsidDel="00000000" w:rsidP="00000000" w:rsidRDefault="00000000" w:rsidRPr="00000000" w14:paraId="000000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SHUa / CM-TMA (síndrome hemolítico-urémico atípico): MAT por desregulación de la vía alternativa del complemento (mutaciones o autoanticuerpos). Se caracteriza por insuficiencia renal aguda grave como manifestación principal. ADAMTS13 &gt; 20 %. </w:t>
      </w:r>
    </w:p>
    <w:p w:rsidR="00000000" w:rsidDel="00000000" w:rsidP="00000000" w:rsidRDefault="00000000" w:rsidRPr="00000000" w14:paraId="0000002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STEC-HUS (SHU por toxina Shiga): MAT por toxina Shiga de E. Coli enterohemorrágica (O157:H7 u otros serogrupos). Predomina en niños con pródromo diarreico (ausente en el 5 % de los casos). Tratamiento: soporte + hidratación IV agresiva. Evitar manejo con antibióticos.</w:t>
      </w:r>
    </w:p>
    <w:p w:rsidR="00000000" w:rsidDel="00000000" w:rsidP="00000000" w:rsidRDefault="00000000" w:rsidRPr="00000000" w14:paraId="0000002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sdt>
        <w:sdtPr>
          <w:id w:val="-732355066"/>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PLASMIC Score: Herramienta de 7 variables (plaquetas, hemólisis, ausencia de cáncer activo, ausencia de trasplante previo, INR, creatinina, VCM) que estima la probabilidad de ADAMTS13 &lt; 10 %. Score ≥ 6: alta probabilidad de iTTP (»70 %); iniciar RPT + caplacizumab + rituximab sin esperar resultado. Score 0–4: buscar causas secundarias.</w:t>
          </w:r>
        </w:sdtContent>
      </w:sdt>
    </w:p>
    <w:p w:rsidR="00000000" w:rsidDel="00000000" w:rsidP="00000000" w:rsidRDefault="00000000" w:rsidRPr="00000000" w14:paraId="0000002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sdt>
        <w:sdtPr>
          <w:id w:val="-1322131153"/>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Recambio plasmático terapéutico (RPT): Aféresis terapéutica que elimina autoanticuerpos anti-ADAMTS13 y repone la enzima mediante plasma fresco congelado como líquido de reposición. Pilar del tratamiento de iTTP. Debe iniciarse en ≤ 4–8 horas del diagnóstico de iTTP probable. No indicado de rutina en SHUa.</w:t>
          </w:r>
        </w:sdtContent>
      </w:sdt>
    </w:p>
    <w:p w:rsidR="00000000" w:rsidDel="00000000" w:rsidP="00000000" w:rsidRDefault="00000000" w:rsidRPr="00000000" w14:paraId="0000002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sdt>
        <w:sdtPr>
          <w:id w:val="771748896"/>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Caplacizumab: Bloquea la adhesión plaqueta-FvW, deteniendo la microtrombosis activa. Aprobado por FDA (2019) para iTTP. Debe iniciarse con alta probabilidad clínica (PLASMIC ≥ 6) sin esperar ADAMTS13. No elimina el autoanticuerpo: Debe combinarse con inmunosupresión.</w:t>
          </w:r>
        </w:sdtContent>
      </w:sdt>
    </w:p>
    <w:p w:rsidR="00000000" w:rsidDel="00000000" w:rsidP="00000000" w:rsidRDefault="00000000" w:rsidRPr="00000000" w14:paraId="0000002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Eculizumab / Ravulizumab: Anticuerpos monoclonales inhibidores de C5 (complemento). Primera línea en SHUa/CM-TMA. También empleados en TA-TMA refractaria. Requieren vacunación meningocócica previa o profilaxis antibiótica. El Ravulizumab tiene semivida más prolongada (cada 4–8 semanas vs. cada 2 semanas).</w:t>
      </w:r>
    </w:p>
    <w:p w:rsidR="00000000" w:rsidDel="00000000" w:rsidP="00000000" w:rsidRDefault="00000000" w:rsidRPr="00000000" w14:paraId="0000002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sC5b-9 sérico: Complejo terminal soluble del complemento (MAC soluble). Biomarcador de activación del complemento terminal. Elevado en SHUa y TA-TMA; útil para confirmar diagnóstico y monitorizar respuesta al tratamiento con inhibidores de C5.</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Flujo Operativo y clínico </w:t>
      </w:r>
    </w:p>
    <w:p w:rsidR="00000000" w:rsidDel="00000000" w:rsidP="00000000" w:rsidRDefault="00000000" w:rsidRPr="00000000" w14:paraId="00000032">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El proceso de tele-experticia en el programa de hematología y medicina transfusional para MAT se desarrollará siguiendo las etapas descritas a continuación. Es crítico que la toma de muestras diagnósticas especialmente la actividad de ADAMTS13 se realice antes de cualquier transfusión, recambio plasmático o producto sanguíneo, ya que estos pueden generar alteración en los resultados. Las muestras no deben esperar el concepto del experto.</w:t>
      </w:r>
    </w:p>
    <w:p w:rsidR="00000000" w:rsidDel="00000000" w:rsidP="00000000" w:rsidRDefault="00000000" w:rsidRPr="00000000" w14:paraId="00000033">
      <w:pP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Etapa 1. Identificación de la necesidad de tele-experticia</w:t>
      </w:r>
      <w:r w:rsidDel="00000000" w:rsidR="00000000" w:rsidRPr="00000000">
        <w:rPr>
          <w:rtl w:val="0"/>
        </w:rPr>
      </w:r>
    </w:p>
    <w:p w:rsidR="00000000" w:rsidDel="00000000" w:rsidP="00000000" w:rsidRDefault="00000000" w:rsidRPr="00000000" w14:paraId="00000034">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El profesional asistencial identifica la sospecha de MAT ante la tríada: trombocitopenia, anemia con datos de hemólisis (LDH elevada, haptoglobina baja, ictericia) y disfunción orgánica (insuficiencia renal aguda, alteración neurológica, dolor abdominal). Antes de solicitar la tele-experticia y simultáneamente, debe: (1) solicitar urgente frotis de sangre periférica con búsqueda de esquistocitos; (2) tomar muestras para ADAMTS13 (actividad e inhibidor), Coombs directo, coagulación completa, función renal, LDH, haptoglobina, y test de embarazo si aplica; (3) No transfundir plaquetas ni plasma hasta recibir orientación del experto; y (4) calcular el PLASMIC score con los datos disponibles.</w:t>
      </w:r>
    </w:p>
    <w:p w:rsidR="00000000" w:rsidDel="00000000" w:rsidP="00000000" w:rsidRDefault="00000000" w:rsidRPr="00000000" w14:paraId="00000035">
      <w:pP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Etapa 2. Recepción de la solicitud de tele-experticia</w:t>
      </w:r>
      <w:r w:rsidDel="00000000" w:rsidR="00000000" w:rsidRPr="00000000">
        <w:rPr>
          <w:rtl w:val="0"/>
        </w:rPr>
      </w:r>
    </w:p>
    <w:p w:rsidR="00000000" w:rsidDel="00000000" w:rsidP="00000000" w:rsidRDefault="00000000" w:rsidRPr="00000000" w14:paraId="00000036">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El profesional experto recibe la solicitud junto con la información clínica disponible: tipo de hemocomponente transfundido y volumen administrado, tiempo de inicio de los síntomas respecto al inicio de la transfusión, signos vitales actuales (FC, TAS, SpO2, temperatura), síntomas presentes (fiebre, escalofríos, disnea, dolor lumbar, hemoglobinuria, urticaria, hipotensión, ALT. del estado mental), resultados de laboratorio disponibles (hemograma, LDH, bilirrubina, BNP, Coombs directo), antecedentes transfusionales, comorbilidades del paciente e inmunocompromiso.</w:t>
      </w:r>
    </w:p>
    <w:p w:rsidR="00000000" w:rsidDel="00000000" w:rsidP="00000000" w:rsidRDefault="00000000" w:rsidRPr="00000000" w14:paraId="00000037">
      <w:pP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Etapa 3. Valoración del paciente</w:t>
      </w:r>
      <w:r w:rsidDel="00000000" w:rsidR="00000000" w:rsidRPr="00000000">
        <w:rPr>
          <w:rtl w:val="0"/>
        </w:rPr>
      </w:r>
    </w:p>
    <w:p w:rsidR="00000000" w:rsidDel="00000000" w:rsidP="00000000" w:rsidRDefault="00000000" w:rsidRPr="00000000" w14:paraId="00000038">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El profesional experto recibe la solicitud junto con la información clínica disponible: recuento plaquetario, hemoglobina, LDH, haptoglobina, creatinina, INR, VCM, resultado del frotis (esquistocitos: sí/no, número por campo), Coombs directo (positivo/negativo), coagulación completa, PLASMIC score calculado, antecedentes de cáncer activo, trasplante previo, embarazo o posparto reciente, medicamentos actuales (especialmente inhibidores de calcineurina, gemcitabina, quinina, inhibidores de VEGF), presencia o ausencia de pródromo diarreico y presión arterial.</w:t>
      </w:r>
    </w:p>
    <w:p w:rsidR="00000000" w:rsidDel="00000000" w:rsidP="00000000" w:rsidRDefault="00000000" w:rsidRPr="00000000" w14:paraId="00000039">
      <w:pP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Etapa 4. Emisión de concepto clínico y recomendaciones</w:t>
      </w:r>
      <w:r w:rsidDel="00000000" w:rsidR="00000000" w:rsidRPr="00000000">
        <w:rPr>
          <w:rtl w:val="0"/>
        </w:rPr>
      </w:r>
    </w:p>
    <w:p w:rsidR="00000000" w:rsidDel="00000000" w:rsidP="00000000" w:rsidRDefault="00000000" w:rsidRPr="00000000" w14:paraId="0000003A">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El profesional experto realiza la valoración a partir de la información remitida y, cuando la modalidad lo permita, mediante interacción sincrónica. La valoración aplica el algoritmo de cuatro pasos: (1) confirmación de la tríada de MAT y exclusión de CID y AHAI; (2) cálculo e interpretación del PLASMIC score; (3) evaluación de indicadores de causa secundaria (pródromo diarreico, fármacos, posparto, HTA maligna, trasplante, neoplasia, autoinmunidad); y (4) definición del nivel de urgencia para remisión y tratamiento específico.</w:t>
      </w:r>
    </w:p>
    <w:p w:rsidR="00000000" w:rsidDel="00000000" w:rsidP="00000000" w:rsidRDefault="00000000" w:rsidRPr="00000000" w14:paraId="0000003B">
      <w:pP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Etapa 5. Registro clínico de la tele-experticia</w:t>
      </w:r>
      <w:r w:rsidDel="00000000" w:rsidR="00000000" w:rsidRPr="00000000">
        <w:rPr>
          <w:rtl w:val="0"/>
        </w:rPr>
      </w:r>
    </w:p>
    <w:p w:rsidR="00000000" w:rsidDel="00000000" w:rsidP="00000000" w:rsidRDefault="00000000" w:rsidRPr="00000000" w14:paraId="0000003C">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Tanto el profesional solicitante como el profesional experto realizan el registro correspondiente en los medios institucionales definidos, dejando trazabilidad completa de la solicitud, la información compartida, el concepto emitido, la conducta final adoptada y el plan de seguimiento y remisión acordado.</w:t>
      </w:r>
    </w:p>
    <w:p w:rsidR="00000000" w:rsidDel="00000000" w:rsidP="00000000" w:rsidRDefault="00000000" w:rsidRPr="00000000" w14:paraId="0000003D">
      <w:pP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Etapa 6. Implementación de recomendaciones y seguimiento del paciente</w:t>
      </w:r>
      <w:r w:rsidDel="00000000" w:rsidR="00000000" w:rsidRPr="00000000">
        <w:rPr>
          <w:rtl w:val="0"/>
        </w:rPr>
      </w:r>
    </w:p>
    <w:p w:rsidR="00000000" w:rsidDel="00000000" w:rsidP="00000000" w:rsidRDefault="00000000" w:rsidRPr="00000000" w14:paraId="0000003E">
      <w:pPr>
        <w:rPr>
          <w:rFonts w:ascii="Arial" w:cs="Arial" w:eastAsia="Arial" w:hAnsi="Arial"/>
          <w:color w:val="000000"/>
          <w:sz w:val="24"/>
          <w:szCs w:val="24"/>
        </w:rPr>
      </w:pPr>
      <w:sdt>
        <w:sdtPr>
          <w:id w:val="-1930550695"/>
          <w:tag w:val="goog_rdk_4"/>
        </w:sdtPr>
        <w:sdtContent>
          <w:r w:rsidDel="00000000" w:rsidR="00000000" w:rsidRPr="00000000">
            <w:rPr>
              <w:rFonts w:ascii="Arial Unicode MS" w:cs="Arial Unicode MS" w:eastAsia="Arial Unicode MS" w:hAnsi="Arial Unicode MS"/>
              <w:color w:val="000000"/>
              <w:sz w:val="24"/>
              <w:szCs w:val="24"/>
              <w:rtl w:val="0"/>
            </w:rPr>
            <w:t xml:space="preserve">El profesional solicitante implementa las recomendaciones, garantiza que las muestras diagnósticas ya tomadas sean procesadas con carácter urgente, gestiona de forma inmediata el traslado a un centro de mayor complejidad con capacidad de RPT y/o eculizumab cuando esté indicado, y registra la conducta adoptada. En los casos con PLASMIC ≥ 6, el traslado no debe demorarse por espera de resultados confirmatorios.</w:t>
          </w:r>
        </w:sdtContent>
      </w:sdt>
    </w:p>
    <w:p w:rsidR="00000000" w:rsidDel="00000000" w:rsidP="00000000" w:rsidRDefault="00000000" w:rsidRPr="00000000" w14:paraId="0000003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2">
      <w:pPr>
        <w:rPr>
          <w:rFonts w:ascii="Arial" w:cs="Arial" w:eastAsia="Arial" w:hAnsi="Arial"/>
          <w:sz w:val="24"/>
          <w:szCs w:val="24"/>
        </w:rPr>
      </w:pPr>
      <w:r w:rsidDel="00000000" w:rsidR="00000000" w:rsidRPr="00000000">
        <w:rPr>
          <w:rtl w:val="0"/>
        </w:rPr>
      </w:r>
    </w:p>
    <w:tbl>
      <w:tblPr>
        <w:tblStyle w:val="Table1"/>
        <w:tblW w:w="8828.0" w:type="dxa"/>
        <w:jc w:val="left"/>
        <w:tblLayout w:type="fixed"/>
        <w:tblLook w:val="0400"/>
      </w:tblPr>
      <w:tblGrid>
        <w:gridCol w:w="894"/>
        <w:gridCol w:w="5325"/>
        <w:gridCol w:w="2609"/>
        <w:tblGridChange w:id="0">
          <w:tblGrid>
            <w:gridCol w:w="894"/>
            <w:gridCol w:w="5325"/>
            <w:gridCol w:w="2609"/>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43">
            <w:pP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Etapa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44">
            <w:pP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Actividad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45">
            <w:pP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Responsable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46">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7">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Sospecha de MAT + toma de muestras críticas previas a cualquier tratamiento + cálculo del score PLASMIC</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8">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Profesional asistencial presencial</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49">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A">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Recepción de la solicitud de tele-experticia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B">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Centro referente / profesional experto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4C">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D">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Valoración y clasificación: algoritmo PLASMIC + etiología secundaria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E">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Profesional experto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4F">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4</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0">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Emisión de concepto clínico y recomendaciones de remisión urgente</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1">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Profesional experto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52">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5</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3">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Registro clínico de la tele-experticia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4">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Ambos profesionales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55">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6</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6">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Implementación de recomendaciones y gestión urgente del traslado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7">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Profesional solicitante / equipo tratante</w:t>
            </w:r>
          </w:p>
        </w:tc>
      </w:tr>
    </w:tbl>
    <w:p w:rsidR="00000000" w:rsidDel="00000000" w:rsidP="00000000" w:rsidRDefault="00000000" w:rsidRPr="00000000" w14:paraId="00000058">
      <w:pPr>
        <w:rPr>
          <w:rFonts w:ascii="Arial" w:cs="Arial" w:eastAsia="Arial" w:hAnsi="Arial"/>
          <w:color w:val="000000"/>
          <w:sz w:val="24"/>
          <w:szCs w:val="24"/>
        </w:rPr>
      </w:pPr>
      <w:r w:rsidDel="00000000" w:rsidR="00000000" w:rsidRPr="00000000">
        <w:rPr>
          <w:rFonts w:ascii="Arial" w:cs="Arial" w:eastAsia="Arial" w:hAnsi="Arial"/>
          <w:i w:val="1"/>
          <w:iCs w:val="1"/>
          <w:color w:val="000000"/>
          <w:sz w:val="24"/>
          <w:szCs w:val="24"/>
          <w:rtl w:val="0"/>
        </w:rPr>
        <w:t xml:space="preserve">Tabla 1. Flujo operativo de la tele-experticia para MAT. Las muestras críticas de la Etapa 1 deben tomarse antes o simultáneamente a la solicitud, nunca, y siempre antes de iniciar cualquier transfusión o RPT.</w:t>
      </w:r>
      <w:r w:rsidDel="00000000" w:rsidR="00000000" w:rsidRPr="00000000">
        <w:rPr>
          <w:rtl w:val="0"/>
        </w:rPr>
      </w:r>
    </w:p>
    <w:p w:rsidR="00000000" w:rsidDel="00000000" w:rsidP="00000000" w:rsidRDefault="00000000" w:rsidRPr="00000000" w14:paraId="00000059">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Criterios de Inclusión / Exclusión</w:t>
      </w:r>
    </w:p>
    <w:p w:rsidR="00000000" w:rsidDel="00000000" w:rsidP="00000000" w:rsidRDefault="00000000" w:rsidRPr="00000000" w14:paraId="0000005A">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Criterios de Inclusión</w:t>
      </w:r>
    </w:p>
    <w:p w:rsidR="00000000" w:rsidDel="00000000" w:rsidP="00000000" w:rsidRDefault="00000000" w:rsidRPr="00000000" w14:paraId="0000005B">
      <w:pPr>
        <w:numPr>
          <w:ilvl w:val="0"/>
          <w:numId w:val="10"/>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Pacientes con sospecha de MAT (trombocitopenia, datos de hemólisis  y disfunción orgánica) en cualquier nivel de atención, en quienes el equipo tratante requiere orientación para confirmar el diagnóstico, aplicar el PLASMIC score y definir la conducta terapéutica inicial.</w:t>
      </w:r>
    </w:p>
    <w:p w:rsidR="00000000" w:rsidDel="00000000" w:rsidP="00000000" w:rsidRDefault="00000000" w:rsidRPr="00000000" w14:paraId="0000005C">
      <w:pPr>
        <w:numPr>
          <w:ilvl w:val="0"/>
          <w:numId w:val="10"/>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Pacientes con esquistocitos en el frotis de sangre periférica confirmados, independientemente del recuento plaquetario, en quienes se requiere orientación para el diagnóstico diferencial entre MAT y otras anemias hemolíticas.</w:t>
      </w:r>
    </w:p>
    <w:p w:rsidR="00000000" w:rsidDel="00000000" w:rsidP="00000000" w:rsidRDefault="00000000" w:rsidRPr="00000000" w14:paraId="0000005D">
      <w:pPr>
        <w:numPr>
          <w:ilvl w:val="0"/>
          <w:numId w:val="10"/>
        </w:numPr>
        <w:ind w:left="720" w:hanging="360"/>
        <w:rPr>
          <w:rFonts w:ascii="Arial" w:cs="Arial" w:eastAsia="Arial" w:hAnsi="Arial"/>
          <w:color w:val="000000"/>
          <w:sz w:val="24"/>
          <w:szCs w:val="24"/>
        </w:rPr>
      </w:pPr>
      <w:sdt>
        <w:sdtPr>
          <w:id w:val="1526233134"/>
          <w:tag w:val="goog_rdk_5"/>
        </w:sdtPr>
        <w:sdtContent>
          <w:r w:rsidDel="00000000" w:rsidR="00000000" w:rsidRPr="00000000">
            <w:rPr>
              <w:rFonts w:ascii="Arial Unicode MS" w:cs="Arial Unicode MS" w:eastAsia="Arial Unicode MS" w:hAnsi="Arial Unicode MS"/>
              <w:color w:val="000000"/>
              <w:sz w:val="24"/>
              <w:szCs w:val="24"/>
              <w:rtl w:val="0"/>
            </w:rPr>
            <w:t xml:space="preserve">Pacientes con iTTP probable (PLASMIC ≥ 6) en un nivel sin capacidad de RPT, en quienes se requiere orientación urgente para la gestión del traslado y el inicio de terapia empírica disponible localmente mientras se organiza el traslado.</w:t>
          </w:r>
        </w:sdtContent>
      </w:sdt>
    </w:p>
    <w:p w:rsidR="00000000" w:rsidDel="00000000" w:rsidP="00000000" w:rsidRDefault="00000000" w:rsidRPr="00000000" w14:paraId="0000005E">
      <w:pPr>
        <w:numPr>
          <w:ilvl w:val="0"/>
          <w:numId w:val="10"/>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Pacientes con MAT + insuficiencia renal aguda grave (creatinina muy elevada, oligoanúrica) en quienes se requiere orientación para el diagnóstico diferencial entre SHUa (eculizumab) y STEC-HUS (soporte), dado que las conductas son opuestas.</w:t>
      </w:r>
    </w:p>
    <w:p w:rsidR="00000000" w:rsidDel="00000000" w:rsidP="00000000" w:rsidRDefault="00000000" w:rsidRPr="00000000" w14:paraId="0000005F">
      <w:pPr>
        <w:numPr>
          <w:ilvl w:val="0"/>
          <w:numId w:val="10"/>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Pacientes con MAT en contextos especiales que aumentan la complejidad diagnóstica: posparto reciente, embarazo, trasplante de células hematopoyéticas, tratamiento con fármacos nefrotóxicos y/o oncológicos, o HTA maligna con MAT persistente tras control de la presión arterial.</w:t>
      </w:r>
    </w:p>
    <w:p w:rsidR="00000000" w:rsidDel="00000000" w:rsidP="00000000" w:rsidRDefault="00000000" w:rsidRPr="00000000" w14:paraId="00000060">
      <w:pPr>
        <w:numPr>
          <w:ilvl w:val="0"/>
          <w:numId w:val="10"/>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Pacientes en seguimiento por MAT en remisión (iTTP o SHUa) en quienes se requiere orientación sobre monitoreo de ADAMTS13, recurrencia o ajuste de tratamiento de mantenimiento.</w:t>
      </w:r>
    </w:p>
    <w:p w:rsidR="00000000" w:rsidDel="00000000" w:rsidP="00000000" w:rsidRDefault="00000000" w:rsidRPr="00000000" w14:paraId="00000061">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Criterios de exclusión</w:t>
      </w:r>
    </w:p>
    <w:p w:rsidR="00000000" w:rsidDel="00000000" w:rsidP="00000000" w:rsidRDefault="00000000" w:rsidRPr="00000000" w14:paraId="00000062">
      <w:pPr>
        <w:numPr>
          <w:ilvl w:val="0"/>
          <w:numId w:val="11"/>
        </w:numPr>
        <w:ind w:left="720" w:hanging="360"/>
        <w:rPr>
          <w:rFonts w:ascii="Arial" w:cs="Arial" w:eastAsia="Arial" w:hAnsi="Arial"/>
          <w:color w:val="000000"/>
          <w:sz w:val="24"/>
          <w:szCs w:val="24"/>
        </w:rPr>
      </w:pPr>
      <w:sdt>
        <w:sdtPr>
          <w:id w:val="1995188661"/>
          <w:tag w:val="goog_rdk_6"/>
        </w:sdtPr>
        <w:sdtContent>
          <w:r w:rsidDel="00000000" w:rsidR="00000000" w:rsidRPr="00000000">
            <w:rPr>
              <w:rFonts w:ascii="Arial Unicode MS" w:cs="Arial Unicode MS" w:eastAsia="Arial Unicode MS" w:hAnsi="Arial Unicode MS"/>
              <w:color w:val="000000"/>
              <w:sz w:val="24"/>
              <w:szCs w:val="24"/>
              <w:rtl w:val="0"/>
            </w:rPr>
            <w:t xml:space="preserve">Pacientes con MAT con compromiso neurológico grave activo (Glasgow ≤ 8, convulsiones refractarias, ACV isquémico extenso) que requieren UCI y manejo neuro protector urgente de forma simultánea a la tele-experticia: el traslado no debe demorarse por el proceso de consulta remota.</w:t>
          </w:r>
        </w:sdtContent>
      </w:sdt>
    </w:p>
    <w:p w:rsidR="00000000" w:rsidDel="00000000" w:rsidP="00000000" w:rsidRDefault="00000000" w:rsidRPr="00000000" w14:paraId="00000063">
      <w:pPr>
        <w:numPr>
          <w:ilvl w:val="0"/>
          <w:numId w:val="11"/>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Pacientes con sospecha de CAPS (síndrome antifosfolípido catastrófico) con trombosis multiorgánica activa e inestabilidad hemodinámica: requieren manejo en UCI y consulta presencial urgente con hematología y reumatología. La tele-experticia puede apoyar en paralelo.</w:t>
      </w:r>
    </w:p>
    <w:p w:rsidR="00000000" w:rsidDel="00000000" w:rsidP="00000000" w:rsidRDefault="00000000" w:rsidRPr="00000000" w14:paraId="00000064">
      <w:pPr>
        <w:numPr>
          <w:ilvl w:val="0"/>
          <w:numId w:val="11"/>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Pacientes con MAT y falla orgánica múltiple establecida (renal, neurológica y cardiovascular) con inestabilidad hemodinámica que requieren soporte en UCI: el traslado urgente es prioritario sobre la tele-experticia.</w:t>
      </w:r>
    </w:p>
    <w:p w:rsidR="00000000" w:rsidDel="00000000" w:rsidP="00000000" w:rsidRDefault="00000000" w:rsidRPr="00000000" w14:paraId="00000065">
      <w:pPr>
        <w:numPr>
          <w:ilvl w:val="0"/>
          <w:numId w:val="11"/>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Casos en los que no sea técnicamente posible realizar la atención mediante los canales institucionales definidos (falla de conectividad, ausencia de hemograma y frotis mínimos necesarios para calcular el PLASMIC score).</w:t>
      </w:r>
    </w:p>
    <w:p w:rsidR="00000000" w:rsidDel="00000000" w:rsidP="00000000" w:rsidRDefault="00000000" w:rsidRPr="00000000" w14:paraId="00000066">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Roles y Responsabilidades</w:t>
      </w:r>
    </w:p>
    <w:p w:rsidR="00000000" w:rsidDel="00000000" w:rsidP="00000000" w:rsidRDefault="00000000" w:rsidRPr="00000000" w14:paraId="00000067">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Centro remisor / profesional solicitante</w:t>
      </w:r>
    </w:p>
    <w:p w:rsidR="00000000" w:rsidDel="00000000" w:rsidP="00000000" w:rsidRDefault="00000000" w:rsidRPr="00000000" w14:paraId="00000068">
      <w:pPr>
        <w:numPr>
          <w:ilvl w:val="0"/>
          <w:numId w:val="12"/>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Reconocer la tríada de MAT y calcular el PLASMIC score con los datos disponibles antes de solicitar la tele-experticia.</w:t>
      </w:r>
    </w:p>
    <w:p w:rsidR="00000000" w:rsidDel="00000000" w:rsidP="00000000" w:rsidRDefault="00000000" w:rsidRPr="00000000" w14:paraId="00000069">
      <w:pPr>
        <w:numPr>
          <w:ilvl w:val="0"/>
          <w:numId w:val="12"/>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Tomar las muestras críticas antes de cualquier transfusión o RPT: actividad de ADAMTS13 e inhibidor, frotis de sangre periférica (búsqueda de esquistocitos), Coombs directo, coagulación completa (TP, TTPa, fibrinógeno, dímero D), función renal, LDH, haptoglobina, , y prueba de embarazo en mujer en edad fértil.</w:t>
      </w:r>
    </w:p>
    <w:p w:rsidR="00000000" w:rsidDel="00000000" w:rsidP="00000000" w:rsidRDefault="00000000" w:rsidRPr="00000000" w14:paraId="0000006A">
      <w:pPr>
        <w:numPr>
          <w:ilvl w:val="0"/>
          <w:numId w:val="12"/>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No transfundir plaquetas ni plasma fresco congelado ni iniciar RPT antes de recibir orientación del experto, salvo hemorragia que amenace la vida o necesidad inmediata de aféresis.</w:t>
      </w:r>
    </w:p>
    <w:p w:rsidR="00000000" w:rsidDel="00000000" w:rsidP="00000000" w:rsidRDefault="00000000" w:rsidRPr="00000000" w14:paraId="0000006B">
      <w:pPr>
        <w:numPr>
          <w:ilvl w:val="0"/>
          <w:numId w:val="12"/>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Transmitir el PLASMIC score calculado, los resultados preliminares de laboratorio y la historia clínica completa al profesional experto en la solicitud.</w:t>
      </w:r>
    </w:p>
    <w:p w:rsidR="00000000" w:rsidDel="00000000" w:rsidP="00000000" w:rsidRDefault="00000000" w:rsidRPr="00000000" w14:paraId="0000006C">
      <w:pPr>
        <w:numPr>
          <w:ilvl w:val="0"/>
          <w:numId w:val="12"/>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Implementar las recomendaciones recibidas, gestionar el traslado urgente cuando esté indicado y registrar en la historia clínica el concepto emitido y la conducta adoptada.</w:t>
      </w:r>
    </w:p>
    <w:p w:rsidR="00000000" w:rsidDel="00000000" w:rsidP="00000000" w:rsidRDefault="00000000" w:rsidRPr="00000000" w14:paraId="0000006D">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Profesional experto (centro referente)</w:t>
      </w:r>
    </w:p>
    <w:p w:rsidR="00000000" w:rsidDel="00000000" w:rsidP="00000000" w:rsidRDefault="00000000" w:rsidRPr="00000000" w14:paraId="0000006E">
      <w:pPr>
        <w:numPr>
          <w:ilvl w:val="0"/>
          <w:numId w:val="2"/>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Interpretar el PLASMIC score y la información clínica remitida para orientar el diagnóstico diferencial entre las principales formas de MAT y emitir recomendaciones terapéuticas claras y urgentes.</w:t>
      </w:r>
    </w:p>
    <w:p w:rsidR="00000000" w:rsidDel="00000000" w:rsidP="00000000" w:rsidRDefault="00000000" w:rsidRPr="00000000" w14:paraId="0000006F">
      <w:pPr>
        <w:numPr>
          <w:ilvl w:val="0"/>
          <w:numId w:val="2"/>
        </w:numPr>
        <w:ind w:left="720" w:hanging="360"/>
        <w:rPr>
          <w:rFonts w:ascii="Arial" w:cs="Arial" w:eastAsia="Arial" w:hAnsi="Arial"/>
          <w:color w:val="000000"/>
          <w:sz w:val="24"/>
          <w:szCs w:val="24"/>
        </w:rPr>
      </w:pPr>
      <w:sdt>
        <w:sdtPr>
          <w:id w:val="1454785348"/>
          <w:tag w:val="goog_rdk_7"/>
        </w:sdtPr>
        <w:sdtContent>
          <w:r w:rsidDel="00000000" w:rsidR="00000000" w:rsidRPr="00000000">
            <w:rPr>
              <w:rFonts w:ascii="Arial Unicode MS" w:cs="Arial Unicode MS" w:eastAsia="Arial Unicode MS" w:hAnsi="Arial Unicode MS"/>
              <w:color w:val="000000"/>
              <w:sz w:val="24"/>
              <w:szCs w:val="24"/>
              <w:rtl w:val="0"/>
            </w:rPr>
            <w:t xml:space="preserve">Indicar si el caso requiere inicio empírico de RPT y caplacizumab (PLASMIC ≥ 6) o si debe priorizarse la búsqueda de causa secundaria (fármacos, posparto, HTA maligna) con manejo específico diferente.</w:t>
          </w:r>
        </w:sdtContent>
      </w:sdt>
    </w:p>
    <w:p w:rsidR="00000000" w:rsidDel="00000000" w:rsidP="00000000" w:rsidRDefault="00000000" w:rsidRPr="00000000" w14:paraId="00000070">
      <w:pPr>
        <w:numPr>
          <w:ilvl w:val="0"/>
          <w:numId w:val="2"/>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Orientar los estudios complementarios dirigidos (complemento genético y serológico, sC5b-9, autoanticuerpos antifosfolípidos, VIH, CMV, SARS-CoV-2) según la hipótesis diagnóstica.</w:t>
      </w:r>
    </w:p>
    <w:p w:rsidR="00000000" w:rsidDel="00000000" w:rsidP="00000000" w:rsidRDefault="00000000" w:rsidRPr="00000000" w14:paraId="00000071">
      <w:pPr>
        <w:numPr>
          <w:ilvl w:val="0"/>
          <w:numId w:val="2"/>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Indicar el destino y la urgencia del traslado con justificación explícita, y registrar la opinión médica de forma completa y trazable con fecha y hora.</w:t>
      </w:r>
    </w:p>
    <w:p w:rsidR="00000000" w:rsidDel="00000000" w:rsidP="00000000" w:rsidRDefault="00000000" w:rsidRPr="00000000" w14:paraId="00000072">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Equipo de soporte tecnológico</w:t>
      </w:r>
    </w:p>
    <w:p w:rsidR="00000000" w:rsidDel="00000000" w:rsidP="00000000" w:rsidRDefault="00000000" w:rsidRPr="00000000" w14:paraId="00000073">
      <w:pPr>
        <w:numPr>
          <w:ilvl w:val="0"/>
          <w:numId w:val="3"/>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Garantizar la disponibilidad, seguridad y trazabilidad de las plataformas tecnológicas, con condiciones de confidencialidad conforme a la Ley 1581 de 2012, y brindar soporte técnico oportuno.</w:t>
      </w:r>
    </w:p>
    <w:p w:rsidR="00000000" w:rsidDel="00000000" w:rsidP="00000000" w:rsidRDefault="00000000" w:rsidRPr="00000000" w14:paraId="00000074">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Equipo de gestión clínica / calidad</w:t>
      </w:r>
    </w:p>
    <w:p w:rsidR="00000000" w:rsidDel="00000000" w:rsidP="00000000" w:rsidRDefault="00000000" w:rsidRPr="00000000" w14:paraId="00000075">
      <w:pPr>
        <w:numPr>
          <w:ilvl w:val="0"/>
          <w:numId w:val="4"/>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Monitorizar la adherencia al protocolo, especialmente el cumplimiento del principio crítico de toma de muestras antes del tratamiento, mediante indicadores periódicos y auditorías de los casos de MAT.</w:t>
      </w:r>
    </w:p>
    <w:p w:rsidR="00000000" w:rsidDel="00000000" w:rsidP="00000000" w:rsidRDefault="00000000" w:rsidRPr="00000000" w14:paraId="00000076">
      <w:pPr>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7">
      <w:pPr>
        <w:rPr>
          <w:rFonts w:ascii="Arial" w:cs="Arial" w:eastAsia="Arial" w:hAnsi="Arial"/>
          <w:b w:val="1"/>
          <w:bCs w:val="1"/>
          <w:color w:val="000000"/>
          <w:sz w:val="24"/>
          <w:szCs w:val="24"/>
        </w:rPr>
      </w:pPr>
      <w:r w:rsidDel="00000000" w:rsidR="00000000" w:rsidRPr="00000000">
        <w:rPr>
          <w:b w:val="1"/>
          <w:bCs w:val="1"/>
          <w:color w:val="262626"/>
          <w:sz w:val="28"/>
          <w:szCs w:val="28"/>
          <w:rtl w:val="0"/>
        </w:rPr>
        <w:t xml:space="preserve">Tiempos de respuesta sugeridos</w:t>
      </w:r>
      <w:r w:rsidDel="00000000" w:rsidR="00000000" w:rsidRPr="00000000">
        <w:rPr>
          <w:rtl w:val="0"/>
        </w:rPr>
      </w:r>
    </w:p>
    <w:p w:rsidR="00000000" w:rsidDel="00000000" w:rsidP="00000000" w:rsidRDefault="00000000" w:rsidRPr="00000000" w14:paraId="00000078">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La MAT es una emergencia hematológica tiempo-dependiente. La demora en el inicio del RPT en iTTP se asocia directamente con mayor mortalidad. Todos los casos con sospecha fundada de MAT deben recibir respuesta en modalidad sincrónica (tiempo real).</w:t>
      </w:r>
    </w:p>
    <w:tbl>
      <w:tblPr>
        <w:tblStyle w:val="Table2"/>
        <w:tblW w:w="8828.0" w:type="dxa"/>
        <w:jc w:val="left"/>
        <w:tblLayout w:type="fixed"/>
        <w:tblLook w:val="0400"/>
      </w:tblPr>
      <w:tblGrid>
        <w:gridCol w:w="3510"/>
        <w:gridCol w:w="2392"/>
        <w:gridCol w:w="2926"/>
        <w:tblGridChange w:id="0">
          <w:tblGrid>
            <w:gridCol w:w="3510"/>
            <w:gridCol w:w="2392"/>
            <w:gridCol w:w="292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79">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Tipo de solicitud</w:t>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7A">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Tiempo de respuesta sugerido</w:t>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7B">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Observaciones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C">
            <w:pPr>
              <w:rPr>
                <w:rFonts w:ascii="Arial" w:cs="Arial" w:eastAsia="Arial" w:hAnsi="Arial"/>
                <w:color w:val="262626"/>
                <w:sz w:val="24"/>
                <w:szCs w:val="24"/>
              </w:rPr>
            </w:pPr>
            <w:sdt>
              <w:sdtPr>
                <w:id w:val="1807165647"/>
                <w:tag w:val="goog_rdk_8"/>
              </w:sdtPr>
              <w:sdtContent>
                <w:r w:rsidDel="00000000" w:rsidR="00000000" w:rsidRPr="00000000">
                  <w:rPr>
                    <w:rFonts w:ascii="Arial Unicode MS" w:cs="Arial Unicode MS" w:eastAsia="Arial Unicode MS" w:hAnsi="Arial Unicode MS"/>
                    <w:color w:val="262626"/>
                    <w:sz w:val="24"/>
                    <w:szCs w:val="24"/>
                    <w:rtl w:val="0"/>
                  </w:rPr>
                  <w:t xml:space="preserve">Sospecha de MAT con PLASMIC ≥ 6 o trombocitopenia severa (&lt; 30×10⁹/L), esquistocitos y síntomas neurológicos</w:t>
                </w:r>
              </w:sdtContent>
            </w:sdt>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D">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&lt; 15 minutos (sincrónica)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E">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Iniciar gestión de traslado simultáneamente; no esperar ADAMTS13</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F">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MAT confirmada con PLASMIC score 5 (intermedia): decisión de RPT empírico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0">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&lt; 30 minutos (sincrónica)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1">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Decisión individualizada; incluir todos los datos clínicos disponibles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2">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MAT + insuficiencia renal aguda grave: diferenciación SHUa vs. STEC-HUS (PLASMIC 0–4)</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3">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&lt; 30 minutos (sincrónica)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4">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Confirmar coprocultivo/PCR STEC antes de iniciar eculizumab</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5">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MAT posparto o en contexto de trasplante: orientación diagnóstica y decisión de eculizumab</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6">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&lt; 1 hora (sincrónica)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7">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Contextos de alta complejidad; siempre requieren traslado urgente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8">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MAT en remisión: monitoreo de ADAMTS13, ajuste de tratamiento de mantenimiento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9">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24–48 horas (asincrónica)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A">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Tele-experticia programada; no emergencia inmediata</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B">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MAT con falla orgánica múltiple e inestabilidad hemodinámica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C">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Remisión directa urgente + tele-experticia sincrónica de apoyo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D">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El traslado a UCI no debe demorarse por espera de concepto</w:t>
            </w:r>
          </w:p>
        </w:tc>
      </w:tr>
    </w:tbl>
    <w:p w:rsidR="00000000" w:rsidDel="00000000" w:rsidP="00000000" w:rsidRDefault="00000000" w:rsidRPr="00000000" w14:paraId="0000008E">
      <w:pPr>
        <w:rPr>
          <w:rFonts w:ascii="Arial" w:cs="Arial" w:eastAsia="Arial" w:hAnsi="Arial"/>
          <w:color w:val="262626"/>
          <w:sz w:val="24"/>
          <w:szCs w:val="24"/>
        </w:rPr>
      </w:pPr>
      <w:sdt>
        <w:sdtPr>
          <w:id w:val="863097921"/>
          <w:tag w:val="goog_rdk_9"/>
        </w:sdtPr>
        <w:sdtContent>
          <w:r w:rsidDel="00000000" w:rsidR="00000000" w:rsidRPr="00000000">
            <w:rPr>
              <w:rFonts w:ascii="Arial Unicode MS" w:cs="Arial Unicode MS" w:eastAsia="Arial Unicode MS" w:hAnsi="Arial Unicode MS"/>
              <w:i w:val="1"/>
              <w:iCs w:val="1"/>
              <w:color w:val="262626"/>
              <w:sz w:val="24"/>
              <w:szCs w:val="24"/>
              <w:rtl w:val="0"/>
            </w:rPr>
            <w:t xml:space="preserve">Tabla 2. Tiempos de respuesta sugeridos según la urgencia clínica del caso. En toda MAT con PLASMIC ≥ 6, el tiempo entre el diagnóstico y el inicio de RPT debe ser ≤ 4–8 horas.</w:t>
          </w:r>
        </w:sdtContent>
      </w:sdt>
      <w:r w:rsidDel="00000000" w:rsidR="00000000" w:rsidRPr="00000000">
        <w:rPr>
          <w:rtl w:val="0"/>
        </w:rPr>
      </w:r>
    </w:p>
    <w:p w:rsidR="00000000" w:rsidDel="00000000" w:rsidP="00000000" w:rsidRDefault="00000000" w:rsidRPr="00000000" w14:paraId="0000008F">
      <w:pPr>
        <w:rPr>
          <w:b w:val="1"/>
          <w:bCs w:val="1"/>
          <w:color w:val="262626"/>
          <w:sz w:val="28"/>
          <w:szCs w:val="28"/>
        </w:rPr>
      </w:pPr>
      <w:r w:rsidDel="00000000" w:rsidR="00000000" w:rsidRPr="00000000">
        <w:rPr>
          <w:b w:val="1"/>
          <w:bCs w:val="1"/>
          <w:color w:val="262626"/>
          <w:sz w:val="28"/>
          <w:szCs w:val="28"/>
          <w:rtl w:val="0"/>
        </w:rPr>
        <w:t xml:space="preserve">Estrategias de humanización digital</w:t>
      </w:r>
    </w:p>
    <w:p w:rsidR="00000000" w:rsidDel="00000000" w:rsidP="00000000" w:rsidRDefault="00000000" w:rsidRPr="00000000" w14:paraId="0000009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26262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Garantizar privacidad del espacio durante la teleconsulta, evitar interrupciones, ruido</w:t>
      </w:r>
      <w:r w:rsidDel="00000000" w:rsidR="00000000" w:rsidRPr="00000000">
        <w:rPr>
          <w:rFonts w:ascii="Arial" w:cs="Arial" w:eastAsia="Arial" w:hAnsi="Arial"/>
          <w:b w:val="0"/>
          <w:bCs w:val="0"/>
          <w:i w:val="0"/>
          <w:iCs w:val="0"/>
          <w:smallCaps w:val="0"/>
          <w:strike w:val="0"/>
          <w:color w:val="262626"/>
          <w:sz w:val="24"/>
          <w:szCs w:val="24"/>
          <w:u w:val="none"/>
          <w:shd w:fill="auto" w:val="clear"/>
          <w:vertAlign w:val="baseline"/>
          <w:rtl w:val="0"/>
        </w:rPr>
        <w:t xml:space="preserve"> y presencia de personas no autorizadas. </w:t>
      </w:r>
    </w:p>
    <w:p w:rsidR="00000000" w:rsidDel="00000000" w:rsidP="00000000" w:rsidRDefault="00000000" w:rsidRPr="00000000" w14:paraId="0000009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4"/>
          <w:szCs w:val="24"/>
          <w:u w:val="none"/>
          <w:shd w:fill="auto" w:val="clear"/>
          <w:vertAlign w:val="baseline"/>
          <w:rtl w:val="0"/>
        </w:rPr>
        <w:t xml:space="preserve">El medico remitente debe presentar al paciente al profesional experto por el nombre, no como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caso u otro adjetivo. </w:t>
      </w:r>
    </w:p>
    <w:p w:rsidR="00000000" w:rsidDel="00000000" w:rsidP="00000000" w:rsidRDefault="00000000" w:rsidRPr="00000000" w14:paraId="0000009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26262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Usar lenguaje sencillo, accesible, no técnico al comunicar las recomendaciones al paciente,</w:t>
      </w:r>
      <w:r w:rsidDel="00000000" w:rsidR="00000000" w:rsidRPr="00000000">
        <w:rPr>
          <w:rFonts w:ascii="Arial" w:cs="Arial" w:eastAsia="Arial" w:hAnsi="Arial"/>
          <w:b w:val="0"/>
          <w:bCs w:val="0"/>
          <w:i w:val="0"/>
          <w:iCs w:val="0"/>
          <w:smallCaps w:val="0"/>
          <w:strike w:val="0"/>
          <w:color w:val="262626"/>
          <w:sz w:val="24"/>
          <w:szCs w:val="24"/>
          <w:u w:val="none"/>
          <w:shd w:fill="auto" w:val="clear"/>
          <w:vertAlign w:val="baseline"/>
          <w:rtl w:val="0"/>
        </w:rPr>
        <w:t xml:space="preserve"> familiar o cuidador. </w:t>
      </w:r>
    </w:p>
    <w:p w:rsidR="00000000" w:rsidDel="00000000" w:rsidP="00000000" w:rsidRDefault="00000000" w:rsidRPr="00000000" w14:paraId="0000009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26262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4"/>
          <w:szCs w:val="24"/>
          <w:u w:val="none"/>
          <w:shd w:fill="auto" w:val="clear"/>
          <w:vertAlign w:val="baseline"/>
          <w:rtl w:val="0"/>
        </w:rPr>
        <w:t xml:space="preserve">Reconocer el impacto emocional del paciente, familia o acompañante, tener una actitud empática permanente. </w:t>
      </w:r>
    </w:p>
    <w:p w:rsidR="00000000" w:rsidDel="00000000" w:rsidP="00000000" w:rsidRDefault="00000000" w:rsidRPr="00000000" w14:paraId="0000009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26262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4"/>
          <w:szCs w:val="24"/>
          <w:u w:val="none"/>
          <w:shd w:fill="auto" w:val="clear"/>
          <w:vertAlign w:val="baseline"/>
          <w:rtl w:val="0"/>
        </w:rPr>
        <w:t xml:space="preserve">Evitar juicios de valor, la meta es acompañar no imponer.  </w:t>
      </w:r>
    </w:p>
    <w:p w:rsidR="00000000" w:rsidDel="00000000" w:rsidP="00000000" w:rsidRDefault="00000000" w:rsidRPr="00000000" w14:paraId="00000095">
      <w:pPr>
        <w:rPr>
          <w:rFonts w:ascii="Arial" w:cs="Arial" w:eastAsia="Arial" w:hAnsi="Arial"/>
          <w:b w:val="1"/>
          <w:bCs w:val="1"/>
          <w:color w:val="262626"/>
          <w:sz w:val="24"/>
          <w:szCs w:val="24"/>
        </w:rPr>
      </w:pPr>
      <w:r w:rsidDel="00000000" w:rsidR="00000000" w:rsidRPr="00000000">
        <w:rPr>
          <w:rFonts w:ascii="Arial" w:cs="Arial" w:eastAsia="Arial" w:hAnsi="Arial"/>
          <w:b w:val="1"/>
          <w:bCs w:val="1"/>
          <w:color w:val="262626"/>
          <w:sz w:val="24"/>
          <w:szCs w:val="24"/>
          <w:rtl w:val="0"/>
        </w:rPr>
        <w:t xml:space="preserve">Dialogo intercultural</w:t>
      </w:r>
    </w:p>
    <w:p w:rsidR="00000000" w:rsidDel="00000000" w:rsidP="00000000" w:rsidRDefault="00000000" w:rsidRPr="00000000" w14:paraId="0000009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26262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4"/>
          <w:szCs w:val="24"/>
          <w:u w:val="none"/>
          <w:shd w:fill="auto" w:val="clear"/>
          <w:vertAlign w:val="baseline"/>
          <w:rtl w:val="0"/>
        </w:rPr>
        <w:t xml:space="preserve">Reconocer las practicas sanitarias culturales en territorios con poblaciones indígenas, afroamericanas, campesinas u otras y dialogar desde el respeto, sin invalidar orientando a practicas seguras. </w:t>
      </w:r>
    </w:p>
    <w:p w:rsidR="00000000" w:rsidDel="00000000" w:rsidP="00000000" w:rsidRDefault="00000000" w:rsidRPr="00000000" w14:paraId="0000009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26262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4"/>
          <w:szCs w:val="24"/>
          <w:u w:val="none"/>
          <w:shd w:fill="auto" w:val="clear"/>
          <w:vertAlign w:val="baseline"/>
          <w:rtl w:val="0"/>
        </w:rPr>
        <w:t xml:space="preserve">Involucrar a médicos ancestrales, lideres comunitarios, promotores de salud, etc. como aliados en la captación y seguimiento. </w:t>
      </w:r>
    </w:p>
    <w:p w:rsidR="00000000" w:rsidDel="00000000" w:rsidP="00000000" w:rsidRDefault="00000000" w:rsidRPr="00000000" w14:paraId="0000009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26262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4"/>
          <w:szCs w:val="24"/>
          <w:u w:val="none"/>
          <w:shd w:fill="auto" w:val="clear"/>
          <w:vertAlign w:val="baseline"/>
          <w:rtl w:val="0"/>
        </w:rPr>
        <w:t xml:space="preserve">Implementar estrategias educativas al contexto cultural, al idioma o lengua predominante en las comunidades. </w:t>
      </w:r>
    </w:p>
    <w:p w:rsidR="00000000" w:rsidDel="00000000" w:rsidP="00000000" w:rsidRDefault="00000000" w:rsidRPr="00000000" w14:paraId="00000099">
      <w:pPr>
        <w:rPr>
          <w:rFonts w:ascii="Arial" w:cs="Arial" w:eastAsia="Arial" w:hAnsi="Arial"/>
          <w:b w:val="1"/>
          <w:bCs w:val="1"/>
          <w:color w:val="262626"/>
          <w:sz w:val="24"/>
          <w:szCs w:val="24"/>
        </w:rPr>
      </w:pPr>
      <w:r w:rsidDel="00000000" w:rsidR="00000000" w:rsidRPr="00000000">
        <w:rPr>
          <w:rtl w:val="0"/>
        </w:rPr>
      </w:r>
    </w:p>
    <w:p w:rsidR="00000000" w:rsidDel="00000000" w:rsidP="00000000" w:rsidRDefault="00000000" w:rsidRPr="00000000" w14:paraId="0000009A">
      <w:pPr>
        <w:rPr>
          <w:rFonts w:ascii="Arial" w:cs="Arial" w:eastAsia="Arial" w:hAnsi="Arial"/>
          <w:b w:val="1"/>
          <w:bCs w:val="1"/>
          <w:color w:val="262626"/>
          <w:sz w:val="24"/>
          <w:szCs w:val="24"/>
        </w:rPr>
      </w:pPr>
      <w:r w:rsidDel="00000000" w:rsidR="00000000" w:rsidRPr="00000000">
        <w:rPr>
          <w:rtl w:val="0"/>
        </w:rPr>
      </w:r>
    </w:p>
    <w:p w:rsidR="00000000" w:rsidDel="00000000" w:rsidP="00000000" w:rsidRDefault="00000000" w:rsidRPr="00000000" w14:paraId="0000009B">
      <w:pPr>
        <w:rPr>
          <w:rFonts w:ascii="Arial" w:cs="Arial" w:eastAsia="Arial" w:hAnsi="Arial"/>
          <w:b w:val="1"/>
          <w:bCs w:val="1"/>
          <w:color w:val="262626"/>
          <w:sz w:val="24"/>
          <w:szCs w:val="24"/>
        </w:rPr>
      </w:pPr>
      <w:r w:rsidDel="00000000" w:rsidR="00000000" w:rsidRPr="00000000">
        <w:rPr>
          <w:rtl w:val="0"/>
        </w:rPr>
      </w:r>
    </w:p>
    <w:p w:rsidR="00000000" w:rsidDel="00000000" w:rsidP="00000000" w:rsidRDefault="00000000" w:rsidRPr="00000000" w14:paraId="0000009C">
      <w:pPr>
        <w:rPr>
          <w:rFonts w:ascii="Arial" w:cs="Arial" w:eastAsia="Arial" w:hAnsi="Arial"/>
          <w:b w:val="1"/>
          <w:bCs w:val="1"/>
          <w:color w:val="262626"/>
          <w:sz w:val="24"/>
          <w:szCs w:val="24"/>
        </w:rPr>
      </w:pPr>
      <w:r w:rsidDel="00000000" w:rsidR="00000000" w:rsidRPr="00000000">
        <w:rPr>
          <w:rFonts w:ascii="Arial" w:cs="Arial" w:eastAsia="Arial" w:hAnsi="Arial"/>
          <w:b w:val="1"/>
          <w:bCs w:val="1"/>
          <w:color w:val="262626"/>
          <w:sz w:val="24"/>
          <w:szCs w:val="24"/>
          <w:rtl w:val="0"/>
        </w:rPr>
        <w:t xml:space="preserve">Indicadores </w:t>
      </w:r>
    </w:p>
    <w:p w:rsidR="00000000" w:rsidDel="00000000" w:rsidP="00000000" w:rsidRDefault="00000000" w:rsidRPr="00000000" w14:paraId="0000009D">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El programa de hematología y medicina transfusional mediante tele-experticia deberá monitorizar periódicamente los siguientes indicadores de calidad para el manejo de MAT:</w:t>
      </w:r>
    </w:p>
    <w:tbl>
      <w:tblPr>
        <w:tblStyle w:val="Table3"/>
        <w:tblW w:w="8828.0" w:type="dxa"/>
        <w:jc w:val="left"/>
        <w:tblLayout w:type="fixed"/>
        <w:tblLook w:val="0400"/>
      </w:tblPr>
      <w:tblGrid>
        <w:gridCol w:w="2718"/>
        <w:gridCol w:w="4502"/>
        <w:gridCol w:w="1608"/>
        <w:tblGridChange w:id="0">
          <w:tblGrid>
            <w:gridCol w:w="2718"/>
            <w:gridCol w:w="4502"/>
            <w:gridCol w:w="1608"/>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9E">
            <w:pPr>
              <w:rPr>
                <w:rFonts w:ascii="Arial" w:cs="Arial" w:eastAsia="Arial" w:hAnsi="Arial"/>
                <w:color w:val="262626"/>
                <w:sz w:val="24"/>
                <w:szCs w:val="24"/>
              </w:rPr>
            </w:pPr>
            <w:r w:rsidDel="00000000" w:rsidR="00000000" w:rsidRPr="00000000">
              <w:rPr>
                <w:rFonts w:ascii="Arial" w:cs="Arial" w:eastAsia="Arial" w:hAnsi="Arial"/>
                <w:b w:val="1"/>
                <w:bCs w:val="1"/>
                <w:color w:val="262626"/>
                <w:sz w:val="24"/>
                <w:szCs w:val="24"/>
                <w:rtl w:val="0"/>
              </w:rPr>
              <w:t xml:space="preserve">Indicador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9F">
            <w:pPr>
              <w:rPr>
                <w:rFonts w:ascii="Arial" w:cs="Arial" w:eastAsia="Arial" w:hAnsi="Arial"/>
                <w:color w:val="262626"/>
                <w:sz w:val="24"/>
                <w:szCs w:val="24"/>
              </w:rPr>
            </w:pPr>
            <w:r w:rsidDel="00000000" w:rsidR="00000000" w:rsidRPr="00000000">
              <w:rPr>
                <w:rFonts w:ascii="Arial" w:cs="Arial" w:eastAsia="Arial" w:hAnsi="Arial"/>
                <w:b w:val="1"/>
                <w:bCs w:val="1"/>
                <w:color w:val="262626"/>
                <w:sz w:val="24"/>
                <w:szCs w:val="24"/>
                <w:rtl w:val="0"/>
              </w:rPr>
              <w:t xml:space="preserve">Definición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A0">
            <w:pPr>
              <w:rPr>
                <w:rFonts w:ascii="Arial" w:cs="Arial" w:eastAsia="Arial" w:hAnsi="Arial"/>
                <w:color w:val="262626"/>
                <w:sz w:val="24"/>
                <w:szCs w:val="24"/>
              </w:rPr>
            </w:pPr>
            <w:r w:rsidDel="00000000" w:rsidR="00000000" w:rsidRPr="00000000">
              <w:rPr>
                <w:rFonts w:ascii="Arial" w:cs="Arial" w:eastAsia="Arial" w:hAnsi="Arial"/>
                <w:b w:val="1"/>
                <w:bCs w:val="1"/>
                <w:color w:val="262626"/>
                <w:sz w:val="24"/>
                <w:szCs w:val="24"/>
                <w:rtl w:val="0"/>
              </w:rPr>
              <w:t xml:space="preserve">Meta sugerida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1">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Toma de ADAMTS13 antes del primer tratamiento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2">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 casos de MAT en los que se tomó muestra para actividad de ADAMTS13 antes de iniciar RPT, PFC o transfusión de plaquetas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3">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100 %</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4">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Uso del score PLASMIC documentado en la solicitud</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5">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 solicitudes de tele-experticia por MAT con PLASMIC score calculado y documentado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6">
            <w:pPr>
              <w:rPr>
                <w:rFonts w:ascii="Arial" w:cs="Arial" w:eastAsia="Arial" w:hAnsi="Arial"/>
                <w:color w:val="262626"/>
                <w:sz w:val="24"/>
                <w:szCs w:val="24"/>
              </w:rPr>
            </w:pPr>
            <w:sdt>
              <w:sdtPr>
                <w:id w:val="1908075269"/>
                <w:tag w:val="goog_rdk_10"/>
              </w:sdtPr>
              <w:sdtContent>
                <w:r w:rsidDel="00000000" w:rsidR="00000000" w:rsidRPr="00000000">
                  <w:rPr>
                    <w:rFonts w:ascii="Arial Unicode MS" w:cs="Arial Unicode MS" w:eastAsia="Arial Unicode MS" w:hAnsi="Arial Unicode MS"/>
                    <w:color w:val="262626"/>
                    <w:sz w:val="24"/>
                    <w:szCs w:val="24"/>
                    <w:rtl w:val="0"/>
                  </w:rPr>
                  <w:t xml:space="preserve">≥ 95 %</w:t>
                </w:r>
              </w:sdtContent>
            </w:sdt>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7">
            <w:pPr>
              <w:rPr>
                <w:rFonts w:ascii="Arial" w:cs="Arial" w:eastAsia="Arial" w:hAnsi="Arial"/>
                <w:color w:val="262626"/>
                <w:sz w:val="24"/>
                <w:szCs w:val="24"/>
              </w:rPr>
            </w:pPr>
            <w:sdt>
              <w:sdtPr>
                <w:id w:val="135929572"/>
                <w:tag w:val="goog_rdk_11"/>
              </w:sdtPr>
              <w:sdtContent>
                <w:r w:rsidDel="00000000" w:rsidR="00000000" w:rsidRPr="00000000">
                  <w:rPr>
                    <w:rFonts w:ascii="Arial Unicode MS" w:cs="Arial Unicode MS" w:eastAsia="Arial Unicode MS" w:hAnsi="Arial Unicode MS"/>
                    <w:color w:val="262626"/>
                    <w:sz w:val="24"/>
                    <w:szCs w:val="24"/>
                    <w:rtl w:val="0"/>
                  </w:rPr>
                  <w:t xml:space="preserve">Tiempo de inicio de RPT en iTTP probable (PLASMIC ≥ 6)</w:t>
                </w:r>
              </w:sdtContent>
            </w:sdt>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8">
            <w:pPr>
              <w:rPr>
                <w:rFonts w:ascii="Arial" w:cs="Arial" w:eastAsia="Arial" w:hAnsi="Arial"/>
                <w:color w:val="262626"/>
                <w:sz w:val="24"/>
                <w:szCs w:val="24"/>
              </w:rPr>
            </w:pPr>
            <w:sdt>
              <w:sdtPr>
                <w:id w:val="-433882806"/>
                <w:tag w:val="goog_rdk_12"/>
              </w:sdtPr>
              <w:sdtContent>
                <w:r w:rsidDel="00000000" w:rsidR="00000000" w:rsidRPr="00000000">
                  <w:rPr>
                    <w:rFonts w:ascii="Arial Unicode MS" w:cs="Arial Unicode MS" w:eastAsia="Arial Unicode MS" w:hAnsi="Arial Unicode MS"/>
                    <w:color w:val="262626"/>
                    <w:sz w:val="24"/>
                    <w:szCs w:val="24"/>
                    <w:rtl w:val="0"/>
                  </w:rPr>
                  <w:t xml:space="preserve">% pacientes con PLASMIC ≥ 6 en quienes el RPT se inició en ≤ 8 horas del diagnóstico</w:t>
                </w:r>
              </w:sdtContent>
            </w:sdt>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9">
            <w:pPr>
              <w:rPr>
                <w:rFonts w:ascii="Arial" w:cs="Arial" w:eastAsia="Arial" w:hAnsi="Arial"/>
                <w:color w:val="262626"/>
                <w:sz w:val="24"/>
                <w:szCs w:val="24"/>
              </w:rPr>
            </w:pPr>
            <w:sdt>
              <w:sdtPr>
                <w:id w:val="-1241764374"/>
                <w:tag w:val="goog_rdk_13"/>
              </w:sdtPr>
              <w:sdtContent>
                <w:r w:rsidDel="00000000" w:rsidR="00000000" w:rsidRPr="00000000">
                  <w:rPr>
                    <w:rFonts w:ascii="Arial Unicode MS" w:cs="Arial Unicode MS" w:eastAsia="Arial Unicode MS" w:hAnsi="Arial Unicode MS"/>
                    <w:color w:val="262626"/>
                    <w:sz w:val="24"/>
                    <w:szCs w:val="24"/>
                    <w:rtl w:val="0"/>
                  </w:rPr>
                  <w:t xml:space="preserve">≥ 85 %</w:t>
                </w:r>
              </w:sdtContent>
            </w:sdt>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A">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Oportunidad de respuesta del profesional experto en MAT aguda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B">
            <w:pPr>
              <w:rPr>
                <w:rFonts w:ascii="Arial" w:cs="Arial" w:eastAsia="Arial" w:hAnsi="Arial"/>
                <w:color w:val="262626"/>
                <w:sz w:val="24"/>
                <w:szCs w:val="24"/>
              </w:rPr>
            </w:pPr>
            <w:sdt>
              <w:sdtPr>
                <w:id w:val="947127190"/>
                <w:tag w:val="goog_rdk_14"/>
              </w:sdtPr>
              <w:sdtContent>
                <w:r w:rsidDel="00000000" w:rsidR="00000000" w:rsidRPr="00000000">
                  <w:rPr>
                    <w:rFonts w:ascii="Arial Unicode MS" w:cs="Arial Unicode MS" w:eastAsia="Arial Unicode MS" w:hAnsi="Arial Unicode MS"/>
                    <w:color w:val="262626"/>
                    <w:sz w:val="24"/>
                    <w:szCs w:val="24"/>
                    <w:rtl w:val="0"/>
                  </w:rPr>
                  <w:t xml:space="preserve">% solicitudes urgentes respondidas en &lt; 15 minutos (PLASMIC ≥ 6 o síntoma neurológico activo)</w:t>
                </w:r>
              </w:sdtContent>
            </w:sdt>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C">
            <w:pPr>
              <w:rPr>
                <w:rFonts w:ascii="Arial" w:cs="Arial" w:eastAsia="Arial" w:hAnsi="Arial"/>
                <w:color w:val="262626"/>
                <w:sz w:val="24"/>
                <w:szCs w:val="24"/>
              </w:rPr>
            </w:pPr>
            <w:sdt>
              <w:sdtPr>
                <w:id w:val="-666877050"/>
                <w:tag w:val="goog_rdk_15"/>
              </w:sdtPr>
              <w:sdtContent>
                <w:r w:rsidDel="00000000" w:rsidR="00000000" w:rsidRPr="00000000">
                  <w:rPr>
                    <w:rFonts w:ascii="Arial Unicode MS" w:cs="Arial Unicode MS" w:eastAsia="Arial Unicode MS" w:hAnsi="Arial Unicode MS"/>
                    <w:color w:val="262626"/>
                    <w:sz w:val="24"/>
                    <w:szCs w:val="24"/>
                    <w:rtl w:val="0"/>
                  </w:rPr>
                  <w:t xml:space="preserve">≥ 90 %</w:t>
                </w:r>
              </w:sdtContent>
            </w:sdt>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D">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Identificación oportuna de STEC-HUS: coprocultivo solicitado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E">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 pacientes con MAT + insuficiencia renal aguda en quienes se solicitó coprocultivo + PCR STEC en heces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F">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100 %</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0">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Tasa de uso inapropiado de antibióticos en STEC-HUS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1">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 pacientes con STEC-HUS confirmado que recibieron antibióticos sin indicación documentada de otra infección bacteriana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2">
            <w:pPr>
              <w:rPr>
                <w:rFonts w:ascii="Arial" w:cs="Arial" w:eastAsia="Arial" w:hAnsi="Arial"/>
                <w:color w:val="262626"/>
                <w:sz w:val="24"/>
                <w:szCs w:val="24"/>
              </w:rPr>
            </w:pPr>
            <w:sdt>
              <w:sdtPr>
                <w:id w:val="2107445702"/>
                <w:tag w:val="goog_rdk_16"/>
              </w:sdtPr>
              <w:sdtContent>
                <w:r w:rsidDel="00000000" w:rsidR="00000000" w:rsidRPr="00000000">
                  <w:rPr>
                    <w:rFonts w:ascii="Arial Unicode MS" w:cs="Arial Unicode MS" w:eastAsia="Arial Unicode MS" w:hAnsi="Arial Unicode MS"/>
                    <w:color w:val="262626"/>
                    <w:sz w:val="24"/>
                    <w:szCs w:val="24"/>
                    <w:rtl w:val="0"/>
                  </w:rPr>
                  <w:t xml:space="preserve">≤ 5 %</w:t>
                </w:r>
              </w:sdtContent>
            </w:sdt>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3">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Inicio oportuno de eculizumab en SHUa confirmado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4">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 pacientes con SHUa (ADAMTS13 &gt; 20 %, sin STEC, sin causa secundaria) en quienes se inició eculizumab dentro de las 24 horas del diagnóstico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5">
            <w:pPr>
              <w:rPr>
                <w:rFonts w:ascii="Arial" w:cs="Arial" w:eastAsia="Arial" w:hAnsi="Arial"/>
                <w:color w:val="262626"/>
                <w:sz w:val="24"/>
                <w:szCs w:val="24"/>
              </w:rPr>
            </w:pPr>
            <w:sdt>
              <w:sdtPr>
                <w:id w:val="661527711"/>
                <w:tag w:val="goog_rdk_17"/>
              </w:sdtPr>
              <w:sdtContent>
                <w:r w:rsidDel="00000000" w:rsidR="00000000" w:rsidRPr="00000000">
                  <w:rPr>
                    <w:rFonts w:ascii="Arial Unicode MS" w:cs="Arial Unicode MS" w:eastAsia="Arial Unicode MS" w:hAnsi="Arial Unicode MS"/>
                    <w:color w:val="262626"/>
                    <w:sz w:val="24"/>
                    <w:szCs w:val="24"/>
                    <w:rtl w:val="0"/>
                  </w:rPr>
                  <w:t xml:space="preserve">≥ 80 %</w:t>
                </w:r>
              </w:sdtContent>
            </w:sdt>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6">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Mortalidad hospitalaria en MAT con tele-experticia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7">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 pacientes con MAT en quienes se activó tele-experticia que fallecieron durante la hospitalización</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8">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Meta institucional</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9">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Completitud del registro de tele-experticia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A">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 tele-experticias con registro completo en historia clínica (solicitud, score PLASMIC, concepto, conducta adoptada, destino de remisión)</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B">
            <w:pPr>
              <w:rPr>
                <w:rFonts w:ascii="Arial" w:cs="Arial" w:eastAsia="Arial" w:hAnsi="Arial"/>
                <w:color w:val="262626"/>
                <w:sz w:val="24"/>
                <w:szCs w:val="24"/>
              </w:rPr>
            </w:pPr>
            <w:sdt>
              <w:sdtPr>
                <w:id w:val="-1185529563"/>
                <w:tag w:val="goog_rdk_18"/>
              </w:sdtPr>
              <w:sdtContent>
                <w:r w:rsidDel="00000000" w:rsidR="00000000" w:rsidRPr="00000000">
                  <w:rPr>
                    <w:rFonts w:ascii="Arial Unicode MS" w:cs="Arial Unicode MS" w:eastAsia="Arial Unicode MS" w:hAnsi="Arial Unicode MS"/>
                    <w:color w:val="262626"/>
                    <w:sz w:val="24"/>
                    <w:szCs w:val="24"/>
                    <w:rtl w:val="0"/>
                  </w:rPr>
                  <w:t xml:space="preserve">≥ 95 %</w:t>
                </w:r>
              </w:sdtContent>
            </w:sdt>
          </w:p>
        </w:tc>
      </w:tr>
    </w:tbl>
    <w:p w:rsidR="00000000" w:rsidDel="00000000" w:rsidP="00000000" w:rsidRDefault="00000000" w:rsidRPr="00000000" w14:paraId="000000BC">
      <w:pPr>
        <w:rPr>
          <w:rFonts w:ascii="Arial" w:cs="Arial" w:eastAsia="Arial" w:hAnsi="Arial"/>
          <w:color w:val="262626"/>
          <w:sz w:val="24"/>
          <w:szCs w:val="24"/>
        </w:rPr>
      </w:pPr>
      <w:r w:rsidDel="00000000" w:rsidR="00000000" w:rsidRPr="00000000">
        <w:rPr>
          <w:rFonts w:ascii="Arial" w:cs="Arial" w:eastAsia="Arial" w:hAnsi="Arial"/>
          <w:i w:val="1"/>
          <w:iCs w:val="1"/>
          <w:color w:val="262626"/>
          <w:sz w:val="24"/>
          <w:szCs w:val="24"/>
          <w:rtl w:val="0"/>
        </w:rPr>
        <w:t xml:space="preserve">Tabla 3. Indicadores de calidad y seguimiento del programa de tele-experticia para MAT.</w:t>
      </w:r>
      <w:r w:rsidDel="00000000" w:rsidR="00000000" w:rsidRPr="00000000">
        <w:rPr>
          <w:rtl w:val="0"/>
        </w:rPr>
      </w:r>
    </w:p>
    <w:p w:rsidR="00000000" w:rsidDel="00000000" w:rsidP="00000000" w:rsidRDefault="00000000" w:rsidRPr="00000000" w14:paraId="000000BD">
      <w:pPr>
        <w:rPr>
          <w:rFonts w:ascii="Arial" w:cs="Arial" w:eastAsia="Arial" w:hAnsi="Arial"/>
          <w:b w:val="1"/>
          <w:bCs w:val="1"/>
          <w:color w:val="262626"/>
          <w:sz w:val="24"/>
          <w:szCs w:val="24"/>
        </w:rPr>
      </w:pPr>
      <w:r w:rsidDel="00000000" w:rsidR="00000000" w:rsidRPr="00000000">
        <w:rPr>
          <w:rFonts w:ascii="Arial" w:cs="Arial" w:eastAsia="Arial" w:hAnsi="Arial"/>
          <w:b w:val="1"/>
          <w:bCs w:val="1"/>
          <w:color w:val="262626"/>
          <w:sz w:val="24"/>
          <w:szCs w:val="24"/>
          <w:rtl w:val="0"/>
        </w:rPr>
        <w:t xml:space="preserve">Bibliografía</w:t>
      </w:r>
    </w:p>
    <w:p w:rsidR="00000000" w:rsidDel="00000000" w:rsidP="00000000" w:rsidRDefault="00000000" w:rsidRPr="00000000" w14:paraId="000000BE">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1. Scully M, et al. 2025 Focused Update of the 2020 ISTH Guidelines for Management of Thrombotic Thrombocytopenic Purpura. J Thromb Haemost. 2025. doi:10.1016/j.jtha.2025.05.xxx</w:t>
      </w:r>
    </w:p>
    <w:p w:rsidR="00000000" w:rsidDel="00000000" w:rsidP="00000000" w:rsidRDefault="00000000" w:rsidRPr="00000000" w14:paraId="000000BF">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2. Li A, Sartain SE. Transplant-associated TMA: the conundrum of diagnosis and treatment. Hematology ASH Educ Program. 2024;2024(1):206–213. doi:10.1182/hematology.2024000545</w:t>
      </w:r>
    </w:p>
    <w:p w:rsidR="00000000" w:rsidDel="00000000" w:rsidP="00000000" w:rsidRDefault="00000000" w:rsidRPr="00000000" w14:paraId="000000C0">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3. Genest DS, Patriquin CJ, Licht C, et al. Renal Thrombotic Microangiopathy: A Review. Am J Kidney Dis. 2023;81(5):591–605. doi:10.1053/j.ajkd.2022.10.014</w:t>
      </w:r>
    </w:p>
    <w:p w:rsidR="00000000" w:rsidDel="00000000" w:rsidP="00000000" w:rsidRDefault="00000000" w:rsidRPr="00000000" w14:paraId="000000C1">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4. Leisring J, Brodsky SV, Parikh SV. Clinical Evaluation and Management of Thrombotic Microangiopathy. Arthritis Rheumatol. 2024;76(2):153–165. doi:10.1002/art.42681</w:t>
      </w:r>
    </w:p>
    <w:p w:rsidR="00000000" w:rsidDel="00000000" w:rsidP="00000000" w:rsidRDefault="00000000" w:rsidRPr="00000000" w14:paraId="000000C2">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5. Brocklebank V, Wood KM, Kavanagh D. Diagnosis and Treatment of Thrombotic Microangiopathy. Br J Haematol. 2022;199:578–594.</w:t>
      </w:r>
    </w:p>
    <w:p w:rsidR="00000000" w:rsidDel="00000000" w:rsidP="00000000" w:rsidRDefault="00000000" w:rsidRPr="00000000" w14:paraId="000000C3">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6. Abou-Ismail MY, Kapoor S, Citla Sridhar D, et al. Making the Correct Diagnosis in Thrombotic Microangiopathy: A Narrative Review. Am J Hematol. 2021. PMC8072824.</w:t>
      </w:r>
    </w:p>
    <w:p w:rsidR="00000000" w:rsidDel="00000000" w:rsidP="00000000" w:rsidRDefault="00000000" w:rsidRPr="00000000" w14:paraId="000000C4">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7. Zheng XL, et al. How should caplacizumab be used for treatment of immune TTP? Annals of Blood. 2023;8:16. PMC10187608.</w:t>
      </w:r>
    </w:p>
    <w:p w:rsidR="00000000" w:rsidDel="00000000" w:rsidP="00000000" w:rsidRDefault="00000000" w:rsidRPr="00000000" w14:paraId="000000C5">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8. Java A, Burwick R, Chang A. Thrombotic Microangiopathies and the Kidney. Adv Kidney Dis Health. 2024;31(3):255–264.</w:t>
      </w:r>
    </w:p>
    <w:p w:rsidR="00000000" w:rsidDel="00000000" w:rsidP="00000000" w:rsidRDefault="00000000" w:rsidRPr="00000000" w14:paraId="000000C6">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9. PLASMIC Score to Aid Diagnosis of aHUS: An Analysis of C5 Inhibitor Clinical Trials and the PINC AI Healthcare Database. BMC Nephrology. 2025. PMC12080142.</w:t>
      </w:r>
    </w:p>
    <w:p w:rsidR="00000000" w:rsidDel="00000000" w:rsidP="00000000" w:rsidRDefault="00000000" w:rsidRPr="00000000" w14:paraId="000000C7">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10. Farkas J. Thrombotic Microangiopathies (TTP, ST-HUS, C-HUS) — IBCC. EMCrit Project. 2024. emcrit.org/ibcc/tma</w:t>
      </w:r>
    </w:p>
    <w:p w:rsidR="00000000" w:rsidDel="00000000" w:rsidP="00000000" w:rsidRDefault="00000000" w:rsidRPr="00000000" w14:paraId="000000C8">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11. Schoettler ML, et al. Harmonizing Definitions for Diagnostic Criteria and Prognostic Assessment of TA-TMA. Transplant Cell Ther. 2023;29(3):151–163. PMC10119629.</w:t>
      </w:r>
    </w:p>
    <w:p w:rsidR="00000000" w:rsidDel="00000000" w:rsidP="00000000" w:rsidRDefault="00000000" w:rsidRPr="00000000" w14:paraId="000000C9">
      <w:pPr>
        <w:rPr>
          <w:rFonts w:ascii="Arial" w:cs="Arial" w:eastAsia="Arial" w:hAnsi="Arial"/>
          <w:color w:val="262626"/>
          <w:sz w:val="24"/>
          <w:szCs w:val="24"/>
        </w:rPr>
      </w:pPr>
      <w:r w:rsidDel="00000000" w:rsidR="00000000" w:rsidRPr="00000000">
        <w:rPr>
          <w:rFonts w:ascii="Arial" w:cs="Arial" w:eastAsia="Arial" w:hAnsi="Arial"/>
          <w:i w:val="1"/>
          <w:iCs w:val="1"/>
          <w:color w:val="262626"/>
          <w:sz w:val="24"/>
          <w:szCs w:val="24"/>
          <w:rtl w:val="0"/>
        </w:rPr>
        <w:t xml:space="preserve">“Este es un protocolo que se basa en la atención de microangiopatía trombótica en primer y segundo nivel, y el plan de seguimiento por telemedicina, que no pretende sustituir guías de práctica clínica “ </w:t>
      </w:r>
      <w:r w:rsidDel="00000000" w:rsidR="00000000" w:rsidRPr="00000000">
        <w:rPr>
          <w:rtl w:val="0"/>
        </w:rPr>
      </w:r>
    </w:p>
    <w:p w:rsidR="00000000" w:rsidDel="00000000" w:rsidP="00000000" w:rsidRDefault="00000000" w:rsidRPr="00000000" w14:paraId="000000CA">
      <w:pPr>
        <w:rPr>
          <w:rFonts w:ascii="Arial" w:cs="Arial" w:eastAsia="Arial" w:hAnsi="Arial"/>
          <w:color w:val="262626"/>
          <w:sz w:val="24"/>
          <w:szCs w:val="24"/>
        </w:rPr>
      </w:pPr>
      <w:r w:rsidDel="00000000" w:rsidR="00000000" w:rsidRPr="00000000">
        <w:rPr>
          <w:rFonts w:ascii="Arial" w:cs="Arial" w:eastAsia="Arial" w:hAnsi="Arial"/>
          <w:b w:val="1"/>
          <w:bCs w:val="1"/>
          <w:color w:val="262626"/>
          <w:sz w:val="24"/>
          <w:szCs w:val="24"/>
          <w:rtl w:val="0"/>
        </w:rPr>
        <w:t xml:space="preserve">Realiza: Raúl Eduardo Walteros</w:t>
      </w:r>
      <w:r w:rsidDel="00000000" w:rsidR="00000000" w:rsidRPr="00000000">
        <w:rPr>
          <w:rFonts w:ascii="Arial" w:cs="Arial" w:eastAsia="Arial" w:hAnsi="Arial"/>
          <w:color w:val="262626"/>
          <w:sz w:val="24"/>
          <w:szCs w:val="24"/>
          <w:rtl w:val="0"/>
        </w:rPr>
        <w:t xml:space="preserve">. </w:t>
      </w:r>
      <w:r w:rsidDel="00000000" w:rsidR="00000000" w:rsidRPr="00000000">
        <w:rPr>
          <w:rFonts w:ascii="Arial" w:cs="Arial" w:eastAsia="Arial" w:hAnsi="Arial"/>
          <w:b w:val="1"/>
          <w:bCs w:val="1"/>
          <w:color w:val="262626"/>
          <w:sz w:val="24"/>
          <w:szCs w:val="24"/>
          <w:rtl w:val="0"/>
        </w:rPr>
        <w:t xml:space="preserve">Médico hematólogo. </w:t>
      </w:r>
      <w:r w:rsidDel="00000000" w:rsidR="00000000" w:rsidRPr="00000000">
        <w:rPr>
          <w:rtl w:val="0"/>
        </w:rPr>
      </w:r>
    </w:p>
    <w:p w:rsidR="00000000" w:rsidDel="00000000" w:rsidP="00000000" w:rsidRDefault="00000000" w:rsidRPr="00000000" w14:paraId="000000CB">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Revisado: José Guillermo Ruiz Rodríguez</w:t>
      </w:r>
    </w:p>
    <w:p w:rsidR="00000000" w:rsidDel="00000000" w:rsidP="00000000" w:rsidRDefault="00000000" w:rsidRPr="00000000" w14:paraId="000000CC">
      <w:pPr>
        <w:jc w:val="cente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CD">
      <w:pPr>
        <w:jc w:val="cente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CE">
      <w:pPr>
        <w:jc w:val="cente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CF">
      <w:pPr>
        <w:jc w:val="cente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D0">
      <w:pPr>
        <w:jc w:val="cente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D1">
      <w:pPr>
        <w:jc w:val="cente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D2">
      <w:pPr>
        <w:jc w:val="cente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D3">
      <w:pP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D4">
      <w:pP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D5">
      <w:pP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D6">
      <w:pPr>
        <w:jc w:val="center"/>
        <w:rPr>
          <w:rFonts w:ascii="Arial" w:cs="Arial" w:eastAsia="Arial" w:hAnsi="Arial"/>
          <w:color w:val="ff0000"/>
          <w:sz w:val="24"/>
          <w:szCs w:val="24"/>
        </w:rPr>
      </w:pPr>
      <w:r w:rsidDel="00000000" w:rsidR="00000000" w:rsidRPr="00000000">
        <w:rPr>
          <w:rtl w:val="0"/>
        </w:rPr>
      </w:r>
    </w:p>
    <w:sectPr>
      <w:headerReference r:id="rId7" w:type="default"/>
      <w:footerReference r:id="rId8"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color w:val="000000"/>
        <w:rtl w:val="0"/>
      </w:rPr>
      <w:t xml:space="preserve">Página </w:t>
    </w:r>
    <w:r w:rsidDel="00000000" w:rsidR="00000000" w:rsidRPr="00000000">
      <w:rPr>
        <w:color w:val="000000"/>
      </w:rPr>
      <w:fldChar w:fldCharType="begin"/>
      <w:instrText xml:space="preserve">PAGE</w:instrText>
      <w:fldChar w:fldCharType="separate"/>
      <w:fldChar w:fldCharType="end"/>
    </w:r>
    <w:r w:rsidDel="00000000" w:rsidR="00000000" w:rsidRPr="00000000">
      <w:rPr>
        <w:color w:val="000000"/>
        <w:rtl w:val="0"/>
      </w:rPr>
      <w:t xml:space="preserve"> de </w:t>
    </w:r>
    <w:r w:rsidDel="00000000" w:rsidR="00000000" w:rsidRPr="00000000">
      <w:rPr>
        <w:color w:val="00000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ff0000"/>
        <w:sz w:val="24"/>
        <w:szCs w:val="24"/>
      </w:rPr>
    </w:pPr>
    <w:r w:rsidDel="00000000" w:rsidR="00000000" w:rsidRPr="00000000">
      <w:rPr>
        <w:rtl w:val="0"/>
      </w:rPr>
    </w:r>
  </w:p>
  <w:tbl>
    <w:tblPr>
      <w:tblStyle w:val="Table4"/>
      <w:tblW w:w="9952.0" w:type="dxa"/>
      <w:jc w:val="left"/>
      <w:tblInd w:w="-3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0"/>
      <w:gridCol w:w="2268"/>
      <w:gridCol w:w="3260"/>
      <w:gridCol w:w="1984"/>
      <w:tblGridChange w:id="0">
        <w:tblGrid>
          <w:gridCol w:w="2440"/>
          <w:gridCol w:w="2268"/>
          <w:gridCol w:w="3260"/>
          <w:gridCol w:w="1984"/>
        </w:tblGrid>
      </w:tblGridChange>
    </w:tblGrid>
    <w:tr>
      <w:trPr>
        <w:cantSplit w:val="0"/>
        <w:trHeight w:val="268" w:hRule="atLeast"/>
        <w:tblHeader w:val="0"/>
      </w:trPr>
      <w:tc>
        <w:tcPr>
          <w:vMerge w:val="restart"/>
          <w:vAlign w:val="center"/>
        </w:tcPr>
        <w:p w:rsidR="00000000" w:rsidDel="00000000" w:rsidP="00000000" w:rsidRDefault="00000000" w:rsidRPr="00000000" w14:paraId="000000D8">
          <w:pPr>
            <w:pBdr>
              <w:top w:space="0" w:sz="0" w:val="nil"/>
              <w:left w:space="0" w:sz="0" w:val="nil"/>
              <w:bottom w:space="0" w:sz="0" w:val="nil"/>
              <w:right w:space="0" w:sz="0" w:val="nil"/>
              <w:between w:space="0" w:sz="0" w:val="nil"/>
            </w:pBdr>
            <w:tabs>
              <w:tab w:val="center" w:leader="none" w:pos="4419"/>
              <w:tab w:val="right" w:leader="none" w:pos="8838"/>
            </w:tabs>
            <w:jc w:val="center"/>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19052</wp:posOffset>
                </wp:positionH>
                <wp:positionV relativeFrom="paragraph">
                  <wp:posOffset>-12698</wp:posOffset>
                </wp:positionV>
                <wp:extent cx="1368425" cy="666750"/>
                <wp:effectExtent b="0" l="0" r="0" t="0"/>
                <wp:wrapNone/>
                <wp:docPr id="1" name="image1.png"/>
                <a:graphic>
                  <a:graphicData uri="http://schemas.openxmlformats.org/drawingml/2006/picture">
                    <pic:pic>
                      <pic:nvPicPr>
                        <pic:cNvPr id="0" name="image1.png"/>
                        <pic:cNvPicPr preferRelativeResize="0"/>
                      </pic:nvPicPr>
                      <pic:blipFill>
                        <a:blip r:embed="rId1"/>
                        <a:srcRect b="0" l="2579" r="4123" t="0"/>
                        <a:stretch>
                          <a:fillRect/>
                        </a:stretch>
                      </pic:blipFill>
                      <pic:spPr>
                        <a:xfrm>
                          <a:off x="0" y="0"/>
                          <a:ext cx="1368425" cy="666750"/>
                        </a:xfrm>
                        <a:prstGeom prst="rect"/>
                        <a:ln/>
                      </pic:spPr>
                    </pic:pic>
                  </a:graphicData>
                </a:graphic>
              </wp:anchor>
            </w:drawing>
          </w:r>
        </w:p>
      </w:tc>
      <w:tc>
        <w:tcPr>
          <w:gridSpan w:val="3"/>
          <w:vAlign w:val="center"/>
        </w:tcPr>
        <w:p w:rsidR="00000000" w:rsidDel="00000000" w:rsidP="00000000" w:rsidRDefault="00000000" w:rsidRPr="00000000" w14:paraId="000000D9">
          <w:pPr>
            <w:pBdr>
              <w:top w:space="0" w:sz="0" w:val="nil"/>
              <w:left w:space="0" w:sz="0" w:val="nil"/>
              <w:bottom w:space="0" w:sz="0" w:val="nil"/>
              <w:right w:space="0" w:sz="0" w:val="nil"/>
              <w:between w:space="0" w:sz="0" w:val="nil"/>
            </w:pBdr>
            <w:tabs>
              <w:tab w:val="center" w:leader="none" w:pos="4419"/>
              <w:tab w:val="right" w:leader="none" w:pos="8838"/>
            </w:tabs>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sz w:val="24"/>
              <w:szCs w:val="24"/>
              <w:rtl w:val="0"/>
            </w:rPr>
            <w:t xml:space="preserve">Protocolo Tele-Experticia microangioppatìa trombótica</w:t>
          </w:r>
          <w:r w:rsidDel="00000000" w:rsidR="00000000" w:rsidRPr="00000000">
            <w:rPr>
              <w:rtl w:val="0"/>
            </w:rPr>
          </w:r>
        </w:p>
      </w:tc>
    </w:tr>
    <w:tr>
      <w:trPr>
        <w:cantSplit w:val="0"/>
        <w:trHeight w:val="372" w:hRule="atLeast"/>
        <w:tblHeader w:val="0"/>
      </w:trPr>
      <w:tc>
        <w:tcPr>
          <w:vMerge w:val="continue"/>
          <w:vAlign w:val="cente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sz w:val="24"/>
              <w:szCs w:val="24"/>
            </w:rPr>
          </w:pPr>
          <w:r w:rsidDel="00000000" w:rsidR="00000000" w:rsidRPr="00000000">
            <w:rPr>
              <w:rtl w:val="0"/>
            </w:rPr>
          </w:r>
        </w:p>
      </w:tc>
      <w:tc>
        <w:tcPr>
          <w:gridSpan w:val="3"/>
          <w:vAlign w:val="center"/>
        </w:tcPr>
        <w:p w:rsidR="00000000" w:rsidDel="00000000" w:rsidP="00000000" w:rsidRDefault="00000000" w:rsidRPr="00000000" w14:paraId="000000DD">
          <w:pPr>
            <w:pBdr>
              <w:top w:space="0" w:sz="0" w:val="nil"/>
              <w:left w:space="0" w:sz="0" w:val="nil"/>
              <w:bottom w:space="0" w:sz="0" w:val="nil"/>
              <w:right w:space="0" w:sz="0" w:val="nil"/>
              <w:between w:space="0" w:sz="0" w:val="nil"/>
            </w:pBdr>
            <w:tabs>
              <w:tab w:val="center" w:leader="none" w:pos="4419"/>
              <w:tab w:val="right" w:leader="none" w:pos="8838"/>
            </w:tabs>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Protocolo </w:t>
          </w:r>
        </w:p>
      </w:tc>
    </w:tr>
    <w:tr>
      <w:trPr>
        <w:cantSplit w:val="0"/>
        <w:trHeight w:val="408" w:hRule="atLeast"/>
        <w:tblHeader w:val="0"/>
      </w:trPr>
      <w:tc>
        <w:tcPr>
          <w:vMerge w:val="continue"/>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0E1">
          <w:pPr>
            <w:pBdr>
              <w:top w:space="0" w:sz="0" w:val="nil"/>
              <w:left w:space="0" w:sz="0" w:val="nil"/>
              <w:bottom w:space="0" w:sz="0" w:val="nil"/>
              <w:right w:space="0" w:sz="0" w:val="nil"/>
              <w:between w:space="0" w:sz="0" w:val="nil"/>
            </w:pBdr>
            <w:tabs>
              <w:tab w:val="center" w:leader="none" w:pos="4419"/>
              <w:tab w:val="right" w:leader="none" w:pos="8838"/>
            </w:tabs>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Código: IN-FR-87</w:t>
          </w:r>
        </w:p>
      </w:tc>
      <w:tc>
        <w:tcPr>
          <w:vAlign w:val="center"/>
        </w:tcPr>
        <w:p w:rsidR="00000000" w:rsidDel="00000000" w:rsidP="00000000" w:rsidRDefault="00000000" w:rsidRPr="00000000" w14:paraId="000000E2">
          <w:pPr>
            <w:pBdr>
              <w:top w:space="0" w:sz="0" w:val="nil"/>
              <w:left w:space="0" w:sz="0" w:val="nil"/>
              <w:bottom w:space="0" w:sz="0" w:val="nil"/>
              <w:right w:space="0" w:sz="0" w:val="nil"/>
              <w:between w:space="0" w:sz="0" w:val="nil"/>
            </w:pBdr>
            <w:tabs>
              <w:tab w:val="center" w:leader="none" w:pos="4419"/>
              <w:tab w:val="right" w:leader="none" w:pos="8838"/>
            </w:tabs>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Vigente desde: 2025-06-25</w:t>
          </w:r>
        </w:p>
      </w:tc>
      <w:tc>
        <w:tcPr>
          <w:vAlign w:val="center"/>
        </w:tcPr>
        <w:p w:rsidR="00000000" w:rsidDel="00000000" w:rsidP="00000000" w:rsidRDefault="00000000" w:rsidRPr="00000000" w14:paraId="000000E3">
          <w:pPr>
            <w:pBdr>
              <w:top w:space="0" w:sz="0" w:val="nil"/>
              <w:left w:space="0" w:sz="0" w:val="nil"/>
              <w:bottom w:space="0" w:sz="0" w:val="nil"/>
              <w:right w:space="0" w:sz="0" w:val="nil"/>
              <w:between w:space="0" w:sz="0" w:val="nil"/>
            </w:pBdr>
            <w:tabs>
              <w:tab w:val="center" w:leader="none" w:pos="4419"/>
              <w:tab w:val="right" w:leader="none" w:pos="8838"/>
            </w:tabs>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Versión: 001</w:t>
          </w:r>
        </w:p>
      </w:tc>
    </w:tr>
  </w:tbl>
  <w:p w:rsidR="00000000" w:rsidDel="00000000" w:rsidP="00000000" w:rsidRDefault="00000000" w:rsidRPr="00000000" w14:paraId="000000E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color w:val="262626"/>
      <w:sz w:val="32"/>
      <w:szCs w:val="32"/>
    </w:rPr>
  </w:style>
  <w:style w:type="paragraph" w:styleId="Heading2">
    <w:name w:val="heading 2"/>
    <w:basedOn w:val="Normal"/>
    <w:next w:val="Normal"/>
    <w:pPr>
      <w:keepNext w:val="1"/>
      <w:keepLines w:val="1"/>
      <w:spacing w:after="0" w:before="40" w:lineRule="auto"/>
    </w:pPr>
    <w:rPr>
      <w:color w:val="262626"/>
      <w:sz w:val="28"/>
      <w:szCs w:val="28"/>
    </w:rPr>
  </w:style>
  <w:style w:type="paragraph" w:styleId="Heading3">
    <w:name w:val="heading 3"/>
    <w:basedOn w:val="Normal"/>
    <w:next w:val="Normal"/>
    <w:pPr>
      <w:keepNext w:val="1"/>
      <w:keepLines w:val="1"/>
      <w:spacing w:after="0" w:before="40" w:lineRule="auto"/>
    </w:pPr>
    <w:rPr>
      <w:color w:val="0d0d0d"/>
      <w:sz w:val="24"/>
      <w:szCs w:val="24"/>
    </w:rPr>
  </w:style>
  <w:style w:type="paragraph" w:styleId="Heading4">
    <w:name w:val="heading 4"/>
    <w:basedOn w:val="Normal"/>
    <w:next w:val="Normal"/>
    <w:pPr>
      <w:keepNext w:val="1"/>
      <w:keepLines w:val="1"/>
      <w:spacing w:after="0" w:before="40" w:lineRule="auto"/>
    </w:pPr>
    <w:rPr>
      <w:i w:val="1"/>
      <w:iCs w:val="1"/>
    </w:rPr>
  </w:style>
  <w:style w:type="paragraph" w:styleId="Heading5">
    <w:name w:val="heading 5"/>
    <w:basedOn w:val="Normal"/>
    <w:next w:val="Normal"/>
    <w:pPr>
      <w:keepNext w:val="1"/>
      <w:keepLines w:val="1"/>
      <w:spacing w:after="0" w:before="40" w:lineRule="auto"/>
    </w:pPr>
    <w:rPr>
      <w:color w:val="404040"/>
    </w:rPr>
  </w:style>
  <w:style w:type="paragraph" w:styleId="Heading6">
    <w:name w:val="heading 6"/>
    <w:basedOn w:val="Normal"/>
    <w:next w:val="Normal"/>
    <w:pPr>
      <w:keepNext w:val="1"/>
      <w:keepLines w:val="1"/>
      <w:spacing w:after="0" w:before="40" w:lineRule="auto"/>
    </w:pPr>
    <w:rPr/>
  </w:style>
  <w:style w:type="paragraph" w:styleId="Title">
    <w:name w:val="Title"/>
    <w:basedOn w:val="Normal"/>
    <w:next w:val="Normal"/>
    <w:pPr>
      <w:spacing w:after="0" w:line="240" w:lineRule="auto"/>
    </w:pPr>
    <w:rPr>
      <w:sz w:val="56"/>
      <w:szCs w:val="56"/>
    </w:rPr>
  </w:style>
  <w:style w:type="paragraph" w:styleId="Subtitle">
    <w:name w:val="Subtitle"/>
    <w:basedOn w:val="Normal"/>
    <w:next w:val="Normal"/>
    <w:pPr/>
    <w:rPr>
      <w:color w:val="5a5a5a"/>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c1EFgNHZysrXuyb56nu/e3Bdd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zgAciExYm83bFl2V2hiNkdrZXhaU2hjVXhmc2Q0d1VnNkRYQ1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id="xYArfBOb"/&gt;&lt;style id="http://www.zotero.org/styles/vancouver" locale="es-MX"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y fmtid="{D5CDD505-2E9C-101B-9397-08002B2CF9AE}" pid="4" name="GrammarlyDocumentId">
    <vt:lpwstr>c00df39e-61df-4ebb-9111-23f482179a3c</vt:lpwstr>
  </property>
</Properties>
</file>