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Introducción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falla cardíaca representa uno de los mayores desafíos para los sistemas de salud en todo el mundo, tanto por su creciente carga epidemiológica como por su elevada morbimortalidad, su impacto en la calidad de vida y sus altos costos de atención. Se estima que más de 64 millones de personas padecen falla cardíaca en el mundo, y se prevé que esta cifra continúe en aumento debido al envejecimiento de la población, a la mayor supervivencia tras los eventos isquémicos y a la disponibilidad de terapias que prolongan la vida de los pacientes. En Colombia no se dispone de cifras oficiales consolidadas sobre su prevalencia, lo que constituye en sí mismo una brecha de información relevante para la planeación de los servicios de salud.</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falla cardíaca se define como un síndrome clínico caracterizado por síntomas y signos de congestión, derivados de la disfunción sistólica o diastólica del corazón, que conduce a un aumento de las presiones intracardíacas o a un gasto cardíaco inadecuado. Entre sus manifestaciones, la disnea constituye el síntoma cardinal y el principal motivo de consulta a los servicios de urgencias. Cuando estos síntomas aparecen o se agravan de forma rápida y obligan a una atención médica inmediata, se configura la falla cardíaca aguda, una situación clínica que demanda una evaluación y un tratamiento oportunos.</w:t>
      </w:r>
    </w:p>
    <w:p w:rsidR="00000000" w:rsidDel="00000000" w:rsidP="00000000" w:rsidRDefault="00000000" w:rsidRPr="00000000" w14:paraId="000000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falla cardíaca aguda en el servicio de urgencias exige una toma de decisiones ágil, frecuentemente en escenarios donde la disponibilidad de especialistas en cardiología es limitada. La tele-experticia permite acercar el concepto especializado al equipo tratante presencial, apoyando la clasificación hemodinámica del paciente, la orientación terapéutica y la definición de los casos que requieren remisión. El presente protocolo establece los lineamientos operativos, asistenciales y clínicos para la atención de la falla cardíaca aguda en urgencias mediante tele-experticia.</w:t>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 este protocolo apoya la atención del paciente con falla cardíaca aguda en el marco de la teleconsulta de urgencias y no pretende sustituir las guías de práctica clínica vigentes.</w:t>
      </w:r>
    </w:p>
    <w:p w:rsidR="00000000" w:rsidDel="00000000" w:rsidP="00000000" w:rsidRDefault="00000000" w:rsidRPr="00000000" w14:paraId="00000007">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Objetivo General</w:t>
      </w:r>
    </w:p>
    <w:p w:rsidR="00000000" w:rsidDel="00000000" w:rsidP="00000000" w:rsidRDefault="00000000" w:rsidRPr="00000000" w14:paraId="0000000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Establecer los lineamientos operativos, asistenciales y clínicos para la atención de los pacientes con falla cardíaca aguda en el servicio de urgencias mediante tele-experticia, apoyando el abordaje diagnóstico a partir de la disnea, la clasificación hemodinámica según los perfiles de Stevenson, la orientación terapéutica y la definición oportuna de la necesidad de remisión, con el fin de reducir la morbimortalidad prevenible.</w:t>
      </w:r>
    </w:p>
    <w:p w:rsidR="00000000" w:rsidDel="00000000" w:rsidP="00000000" w:rsidRDefault="00000000" w:rsidRPr="00000000" w14:paraId="00000009">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Objetivos Específicos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Estandarizar el proceso de solicitud, respuesta, registro y seguimiento de la tele-experticia para pacientes con falla cardíaca aguda en urgencias.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Orientar el abordaje diagnóstico del paciente que consulta por disnea con sospecha de falla cardíaca aguda.</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Apoyar la clasificación hemodinámica del paciente según los perfiles de Stevenson.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Orientar el tratamiento de acuerdo con el perfil hemodinámico, con énfasis en los perfiles B y C.</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Definir el estudio etiológico básico (electrocardiograma, radiografía de tórax y troponinas) donde esté disponible.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Establecer los criterios de remisión, en particular para los pacientes de novo y aquellos con hipotensión.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Definir los tiempos de respuesta que aseguren una atención segura y oportuna.</w:t>
      </w:r>
    </w:p>
    <w:p w:rsidR="00000000" w:rsidDel="00000000" w:rsidP="00000000" w:rsidRDefault="00000000" w:rsidRPr="00000000" w14:paraId="00000011">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Alcance</w:t>
      </w:r>
    </w:p>
    <w:p w:rsidR="00000000" w:rsidDel="00000000" w:rsidP="00000000" w:rsidRDefault="00000000" w:rsidRPr="00000000" w14:paraId="0000001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protocolo aplica a todos los profesionales de la salud que atienden pacientes con sospecha o diagnóstico de falla cardíaca aguda en el servicio de urgencias mediante tele-experticia, en cualquier nivel de atención. Comprende el abordaje diagnóstico inicial a partir de la disnea, la realización e interpretación del estudio básico donde esté disponible, la clasificación según los perfiles hemodinámicos de Stevenson, la orientación terapéutica de los perfiles B y C, y la definición de los criterios de remisión.</w:t>
      </w:r>
    </w:p>
    <w:p w:rsidR="00000000" w:rsidDel="00000000" w:rsidP="00000000" w:rsidRDefault="00000000" w:rsidRPr="00000000" w14:paraId="00000013">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Marco Normativo</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2654 de 2019 (MinSalud): regula la telesalud y la telemedicina en Colombia.</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3100 de 2019 (MinSalud): estándares de habilitación de servicios de salud.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1419 de 2010: Política Nacional de Telesalud.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1581 de 2012: protección de datos personales (Habeas Data).</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Decreto 538 de 2020: medidas de telemedicina para emergencias sanitarias.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Guías del Ministerio de Salud y Protección Social en Telesalud.</w:t>
      </w:r>
    </w:p>
    <w:p w:rsidR="00000000" w:rsidDel="00000000" w:rsidP="00000000" w:rsidRDefault="00000000" w:rsidRPr="00000000" w14:paraId="0000001A">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Definiciones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Telesalud: conjunto de actividades relacionadas con la salud, servicios y métodos llevados a cabo a distancia con ayuda de las tecnologías de la información y telecomunicaciones; incluye la Telemedicina y la Teleeducación en salud.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Teleapoyo: soporte solicitado por un profesional de la salud a otro profesional de la salud a través de las TIC en el marco del relacionamiento institucional.</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Teleexperticia: relación a distancia, sincrónica o asincrónica, para la provisión de servicios de salud entre dos profesionales (uno presencial, responsable del tratamiento, y otro a distancia como asesor), entre profesionales en junta médica, o con personal no profesional que solicita apoyo de un profesional para la toma de decisiones.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Falla cardíaca: síndrome clínico caracterizado por síntomas y signos de congestión, derivados de la disfunción sistólica o diastólica del corazón, con aumento de las presiones intracardíacas o gasto cardíaco inadecuado.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Falla cardíaca aguda: aparición o empeoramiento rápido de los síntomas y signos de falla cardíaca, que obliga a una atención médica urgente.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Falla cardíaca de novo: primera presentación de la falla cardíaca en un paciente sin diagnóstico previo.</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Perfiles hemodinámicos de Stevenson: clasificación clínica a pie de cama basada en la presencia de congestión (húmedo o seco) y en la adecuación de la perfusión (caliente o frío).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Disnea: sensación subjetiva de dificultad para respirar; síntoma cardinal y principal motivo de consulta en la falla cardíaca aguda.</w:t>
      </w:r>
    </w:p>
    <w:p w:rsidR="00000000" w:rsidDel="00000000" w:rsidP="00000000" w:rsidRDefault="00000000" w:rsidRPr="00000000" w14:paraId="00000023">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 Flujo Operativo y Clínico en Telesalud</w:t>
      </w:r>
    </w:p>
    <w:p w:rsidR="00000000" w:rsidDel="00000000" w:rsidP="00000000" w:rsidRDefault="00000000" w:rsidRPr="00000000" w14:paraId="0000002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medidas iniciales de estabilización del paciente con falla cardíaca aguda (evaluación del ABC, oxigenoterapia según necesidad, monitorización y toma de accesos) se ejecutan de manera simultánea con la solicitud de tele-experticia y no se difieren en espera del concepto del experto.</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4"/>
        <w:gridCol w:w="2209"/>
        <w:gridCol w:w="2207"/>
        <w:gridCol w:w="2208"/>
        <w:tblGridChange w:id="0">
          <w:tblGrid>
            <w:gridCol w:w="2204"/>
            <w:gridCol w:w="2209"/>
            <w:gridCol w:w="2207"/>
            <w:gridCol w:w="2208"/>
          </w:tblGrid>
        </w:tblGridChange>
      </w:tblGrid>
      <w:tr>
        <w:trPr>
          <w:cantSplit w:val="0"/>
          <w:tblHeader w:val="0"/>
        </w:trPr>
        <w:tc>
          <w:tcPr/>
          <w:p w:rsidR="00000000" w:rsidDel="00000000" w:rsidP="00000000" w:rsidRDefault="00000000" w:rsidRPr="00000000" w14:paraId="0000002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Etapa</w:t>
            </w:r>
            <w:r w:rsidDel="00000000" w:rsidR="00000000" w:rsidRPr="00000000">
              <w:rPr>
                <w:rtl w:val="0"/>
              </w:rPr>
            </w:r>
          </w:p>
        </w:tc>
        <w:tc>
          <w:tcPr/>
          <w:p w:rsidR="00000000" w:rsidDel="00000000" w:rsidP="00000000" w:rsidRDefault="00000000" w:rsidRPr="00000000" w14:paraId="0000002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Actividad</w:t>
            </w:r>
            <w:r w:rsidDel="00000000" w:rsidR="00000000" w:rsidRPr="00000000">
              <w:rPr>
                <w:rtl w:val="0"/>
              </w:rPr>
            </w:r>
          </w:p>
        </w:tc>
        <w:tc>
          <w:tcPr/>
          <w:p w:rsidR="00000000" w:rsidDel="00000000" w:rsidP="00000000" w:rsidRDefault="00000000" w:rsidRPr="00000000" w14:paraId="00000027">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Responsable</w:t>
            </w:r>
            <w:r w:rsidDel="00000000" w:rsidR="00000000" w:rsidRPr="00000000">
              <w:rPr>
                <w:rtl w:val="0"/>
              </w:rPr>
            </w:r>
          </w:p>
        </w:tc>
        <w:tc>
          <w:tcPr/>
          <w:p w:rsidR="00000000" w:rsidDel="00000000" w:rsidP="00000000" w:rsidRDefault="00000000" w:rsidRPr="00000000" w14:paraId="00000028">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29">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2A">
            <w:pPr>
              <w:rPr>
                <w:rFonts w:ascii="Arial" w:cs="Arial" w:eastAsia="Arial" w:hAnsi="Arial"/>
                <w:sz w:val="24"/>
                <w:szCs w:val="24"/>
              </w:rPr>
            </w:pPr>
            <w:r w:rsidDel="00000000" w:rsidR="00000000" w:rsidRPr="00000000">
              <w:rPr>
                <w:rFonts w:ascii="Arial" w:cs="Arial" w:eastAsia="Arial" w:hAnsi="Arial"/>
                <w:sz w:val="24"/>
                <w:szCs w:val="24"/>
                <w:rtl w:val="0"/>
              </w:rPr>
              <w:t xml:space="preserve">Identificación del paciente con disnea y sospecha de falla cardíaca aguda y medidas iniciales</w:t>
            </w:r>
          </w:p>
        </w:tc>
        <w:tc>
          <w:tcPr/>
          <w:p w:rsidR="00000000" w:rsidDel="00000000" w:rsidP="00000000" w:rsidRDefault="00000000" w:rsidRPr="00000000" w14:paraId="0000002B">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asistencial presencial</w:t>
            </w:r>
          </w:p>
        </w:tc>
        <w:tc>
          <w:tcPr/>
          <w:p w:rsidR="00000000" w:rsidDel="00000000" w:rsidP="00000000" w:rsidRDefault="00000000" w:rsidRPr="00000000" w14:paraId="0000002C">
            <w:pPr>
              <w:rPr>
                <w:rFonts w:ascii="Arial" w:cs="Arial" w:eastAsia="Arial" w:hAnsi="Arial"/>
                <w:sz w:val="24"/>
                <w:szCs w:val="24"/>
              </w:rPr>
            </w:pPr>
            <w:r w:rsidDel="00000000" w:rsidR="00000000" w:rsidRPr="00000000">
              <w:rPr>
                <w:rFonts w:ascii="Arial" w:cs="Arial" w:eastAsia="Arial" w:hAnsi="Arial"/>
                <w:sz w:val="24"/>
                <w:szCs w:val="24"/>
                <w:rtl w:val="0"/>
              </w:rPr>
              <w:t xml:space="preserve">Evaluación del ABC, oxigenoterapia, monitorización y estabilización inicial.</w:t>
            </w:r>
          </w:p>
        </w:tc>
      </w:tr>
      <w:tr>
        <w:trPr>
          <w:cantSplit w:val="0"/>
          <w:tblHeader w:val="0"/>
        </w:trPr>
        <w:tc>
          <w:tcPr/>
          <w:p w:rsidR="00000000" w:rsidDel="00000000" w:rsidP="00000000" w:rsidRDefault="00000000" w:rsidRPr="00000000" w14:paraId="0000002D">
            <w:pP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p w:rsidR="00000000" w:rsidDel="00000000" w:rsidP="00000000" w:rsidRDefault="00000000" w:rsidRPr="00000000" w14:paraId="0000002E">
            <w:pPr>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Verificación de requisitos clínicos y consentimiento</w:t>
            </w:r>
          </w:p>
        </w:tc>
        <w:tc>
          <w:tcPr/>
          <w:p w:rsidR="00000000" w:rsidDel="00000000" w:rsidP="00000000" w:rsidRDefault="00000000" w:rsidRPr="00000000" w14:paraId="0000002F">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Remisor</w:t>
            </w:r>
          </w:p>
        </w:tc>
        <w:tc>
          <w:tcPr/>
          <w:p w:rsidR="00000000" w:rsidDel="00000000" w:rsidP="00000000" w:rsidRDefault="00000000" w:rsidRPr="00000000" w14:paraId="00000030">
            <w:pPr>
              <w:rPr>
                <w:rFonts w:ascii="Arial" w:cs="Arial" w:eastAsia="Arial" w:hAnsi="Arial"/>
                <w:sz w:val="24"/>
                <w:szCs w:val="24"/>
              </w:rPr>
            </w:pPr>
            <w:r w:rsidDel="00000000" w:rsidR="00000000" w:rsidRPr="00000000">
              <w:rPr>
                <w:rFonts w:ascii="Arial" w:cs="Arial" w:eastAsia="Arial" w:hAnsi="Arial"/>
                <w:sz w:val="24"/>
                <w:szCs w:val="24"/>
                <w:rtl w:val="0"/>
              </w:rPr>
              <w:t xml:space="preserve">Evaluación de criterios de inclusión y firma del consentimiento informado para el uso de medios tecnológicos.</w:t>
            </w:r>
          </w:p>
        </w:tc>
      </w:tr>
      <w:tr>
        <w:trPr>
          <w:cantSplit w:val="0"/>
          <w:tblHeader w:val="0"/>
        </w:trPr>
        <w:tc>
          <w:tcPr/>
          <w:p w:rsidR="00000000" w:rsidDel="00000000" w:rsidP="00000000" w:rsidRDefault="00000000" w:rsidRPr="00000000" w14:paraId="00000031">
            <w:pP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p w:rsidR="00000000" w:rsidDel="00000000" w:rsidP="00000000" w:rsidRDefault="00000000" w:rsidRPr="00000000" w14:paraId="00000032">
            <w:pPr>
              <w:rPr>
                <w:rFonts w:ascii="Arial" w:cs="Arial" w:eastAsia="Arial" w:hAnsi="Arial"/>
                <w:sz w:val="24"/>
                <w:szCs w:val="24"/>
              </w:rPr>
            </w:pPr>
            <w:r w:rsidDel="00000000" w:rsidR="00000000" w:rsidRPr="00000000">
              <w:rPr>
                <w:rFonts w:ascii="Arial" w:cs="Arial" w:eastAsia="Arial" w:hAnsi="Arial"/>
                <w:sz w:val="24"/>
                <w:szCs w:val="24"/>
                <w:rtl w:val="0"/>
              </w:rPr>
              <w:t xml:space="preserve">Diligenciamiento de solicitud y envío de datos clínicos</w:t>
            </w:r>
          </w:p>
        </w:tc>
        <w:tc>
          <w:tcPr/>
          <w:p w:rsidR="00000000" w:rsidDel="00000000" w:rsidP="00000000" w:rsidRDefault="00000000" w:rsidRPr="00000000" w14:paraId="00000033">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solicitante</w:t>
            </w:r>
          </w:p>
        </w:tc>
        <w:tc>
          <w:tcPr/>
          <w:p w:rsidR="00000000" w:rsidDel="00000000" w:rsidP="00000000" w:rsidRDefault="00000000" w:rsidRPr="00000000" w14:paraId="00000034">
            <w:pPr>
              <w:rPr>
                <w:rFonts w:ascii="Arial" w:cs="Arial" w:eastAsia="Arial" w:hAnsi="Arial"/>
                <w:sz w:val="24"/>
                <w:szCs w:val="24"/>
              </w:rPr>
            </w:pPr>
            <w:r w:rsidDel="00000000" w:rsidR="00000000" w:rsidRPr="00000000">
              <w:rPr>
                <w:rFonts w:ascii="Arial" w:cs="Arial" w:eastAsia="Arial" w:hAnsi="Arial"/>
                <w:sz w:val="24"/>
                <w:szCs w:val="24"/>
                <w:rtl w:val="0"/>
              </w:rPr>
              <w:t xml:space="preserve">Canales corporativos institucionales (teléfonos y correo del programa de telemedicina).</w:t>
            </w:r>
          </w:p>
        </w:tc>
      </w:tr>
      <w:tr>
        <w:trPr>
          <w:cantSplit w:val="0"/>
          <w:tblHeader w:val="0"/>
        </w:trPr>
        <w:tc>
          <w:tcPr/>
          <w:p w:rsidR="00000000" w:rsidDel="00000000" w:rsidP="00000000" w:rsidRDefault="00000000" w:rsidRPr="00000000" w14:paraId="00000035">
            <w:pP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36">
            <w:pPr>
              <w:rPr>
                <w:rFonts w:ascii="Arial" w:cs="Arial" w:eastAsia="Arial" w:hAnsi="Arial"/>
                <w:sz w:val="24"/>
                <w:szCs w:val="24"/>
              </w:rPr>
            </w:pPr>
            <w:r w:rsidDel="00000000" w:rsidR="00000000" w:rsidRPr="00000000">
              <w:rPr>
                <w:rFonts w:ascii="Arial" w:cs="Arial" w:eastAsia="Arial" w:hAnsi="Arial"/>
                <w:sz w:val="24"/>
                <w:szCs w:val="24"/>
                <w:rtl w:val="0"/>
              </w:rPr>
              <w:t xml:space="preserve">Recepción y validación de la información</w:t>
            </w:r>
          </w:p>
        </w:tc>
        <w:tc>
          <w:tcPr/>
          <w:p w:rsidR="00000000" w:rsidDel="00000000" w:rsidP="00000000" w:rsidRDefault="00000000" w:rsidRPr="00000000" w14:paraId="00000037">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Referente / profesional experto</w:t>
            </w:r>
          </w:p>
        </w:tc>
        <w:tc>
          <w:tcPr/>
          <w:p w:rsidR="00000000" w:rsidDel="00000000" w:rsidP="00000000" w:rsidRDefault="00000000" w:rsidRPr="00000000" w14:paraId="00000038">
            <w:pPr>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clínica y cargue administrativo en el sistema de historia clínica.</w:t>
            </w:r>
          </w:p>
        </w:tc>
      </w:tr>
      <w:tr>
        <w:trPr>
          <w:cantSplit w:val="0"/>
          <w:tblHeader w:val="0"/>
        </w:trPr>
        <w:tc>
          <w:tcPr/>
          <w:p w:rsidR="00000000" w:rsidDel="00000000" w:rsidP="00000000" w:rsidRDefault="00000000" w:rsidRPr="00000000" w14:paraId="00000039">
            <w:pP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p w:rsidR="00000000" w:rsidDel="00000000" w:rsidP="00000000" w:rsidRDefault="00000000" w:rsidRPr="00000000" w14:paraId="0000003A">
            <w:pPr>
              <w:rPr>
                <w:rFonts w:ascii="Arial" w:cs="Arial" w:eastAsia="Arial" w:hAnsi="Arial"/>
                <w:sz w:val="24"/>
                <w:szCs w:val="24"/>
              </w:rPr>
            </w:pPr>
            <w:r w:rsidDel="00000000" w:rsidR="00000000" w:rsidRPr="00000000">
              <w:rPr>
                <w:rFonts w:ascii="Arial" w:cs="Arial" w:eastAsia="Arial" w:hAnsi="Arial"/>
                <w:sz w:val="24"/>
                <w:szCs w:val="24"/>
                <w:rtl w:val="0"/>
              </w:rPr>
              <w:t xml:space="preserve">Análisis del caso, clasificación hemodinámica y concepto clínico</w:t>
            </w:r>
          </w:p>
        </w:tc>
        <w:tc>
          <w:tcPr/>
          <w:p w:rsidR="00000000" w:rsidDel="00000000" w:rsidP="00000000" w:rsidRDefault="00000000" w:rsidRPr="00000000" w14:paraId="0000003B">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w:t>
            </w:r>
          </w:p>
        </w:tc>
        <w:tc>
          <w:tcPr/>
          <w:p w:rsidR="00000000" w:rsidDel="00000000" w:rsidP="00000000" w:rsidRDefault="00000000" w:rsidRPr="00000000" w14:paraId="0000003C">
            <w:pPr>
              <w:rPr>
                <w:rFonts w:ascii="Arial" w:cs="Arial" w:eastAsia="Arial" w:hAnsi="Arial"/>
                <w:sz w:val="24"/>
                <w:szCs w:val="24"/>
              </w:rPr>
            </w:pPr>
            <w:r w:rsidDel="00000000" w:rsidR="00000000" w:rsidRPr="00000000">
              <w:rPr>
                <w:rFonts w:ascii="Arial" w:cs="Arial" w:eastAsia="Arial" w:hAnsi="Arial"/>
                <w:sz w:val="24"/>
                <w:szCs w:val="24"/>
                <w:rtl w:val="0"/>
              </w:rPr>
              <w:t xml:space="preserve">Definición del perfil de Stevenson y de la conducta terapéutica; registro en historia clínica.</w:t>
            </w:r>
          </w:p>
        </w:tc>
      </w:tr>
      <w:tr>
        <w:trPr>
          <w:cantSplit w:val="0"/>
          <w:tblHeader w:val="0"/>
        </w:trPr>
        <w:tc>
          <w:tcPr/>
          <w:p w:rsidR="00000000" w:rsidDel="00000000" w:rsidP="00000000" w:rsidRDefault="00000000" w:rsidRPr="00000000" w14:paraId="0000003D">
            <w:pP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p w:rsidR="00000000" w:rsidDel="00000000" w:rsidP="00000000" w:rsidRDefault="00000000" w:rsidRPr="00000000" w14:paraId="0000003E">
            <w:pPr>
              <w:rPr>
                <w:rFonts w:ascii="Arial" w:cs="Arial" w:eastAsia="Arial" w:hAnsi="Arial"/>
                <w:sz w:val="24"/>
                <w:szCs w:val="24"/>
              </w:rPr>
            </w:pPr>
            <w:r w:rsidDel="00000000" w:rsidR="00000000" w:rsidRPr="00000000">
              <w:rPr>
                <w:rFonts w:ascii="Arial" w:cs="Arial" w:eastAsia="Arial" w:hAnsi="Arial"/>
                <w:sz w:val="24"/>
                <w:szCs w:val="24"/>
                <w:rtl w:val="0"/>
              </w:rPr>
              <w:t xml:space="preserve">Envío del ordenamiento y recomendaciones</w:t>
            </w:r>
          </w:p>
        </w:tc>
        <w:tc>
          <w:tcPr/>
          <w:p w:rsidR="00000000" w:rsidDel="00000000" w:rsidP="00000000" w:rsidRDefault="00000000" w:rsidRPr="00000000" w14:paraId="0000003F">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w:t>
            </w:r>
          </w:p>
        </w:tc>
        <w:tc>
          <w:tcPr/>
          <w:p w:rsidR="00000000" w:rsidDel="00000000" w:rsidP="00000000" w:rsidRDefault="00000000" w:rsidRPr="00000000" w14:paraId="00000040">
            <w:pPr>
              <w:rPr>
                <w:rFonts w:ascii="Arial" w:cs="Arial" w:eastAsia="Arial" w:hAnsi="Arial"/>
                <w:sz w:val="24"/>
                <w:szCs w:val="24"/>
              </w:rPr>
            </w:pPr>
            <w:r w:rsidDel="00000000" w:rsidR="00000000" w:rsidRPr="00000000">
              <w:rPr>
                <w:rFonts w:ascii="Arial" w:cs="Arial" w:eastAsia="Arial" w:hAnsi="Arial"/>
                <w:sz w:val="24"/>
                <w:szCs w:val="24"/>
                <w:rtl w:val="0"/>
              </w:rPr>
              <w:t xml:space="preserve">Plan de manejo y definición de remisión por correo corporativo.</w:t>
            </w:r>
          </w:p>
        </w:tc>
      </w:tr>
    </w:tbl>
    <w:p w:rsidR="00000000" w:rsidDel="00000000" w:rsidP="00000000" w:rsidRDefault="00000000" w:rsidRPr="00000000" w14:paraId="00000041">
      <w:pPr>
        <w:pStyle w:val="Heading3"/>
        <w:rPr>
          <w:rFonts w:ascii="Arial" w:cs="Arial" w:eastAsia="Arial" w:hAnsi="Arial"/>
        </w:rPr>
      </w:pPr>
      <w:r w:rsidDel="00000000" w:rsidR="00000000" w:rsidRPr="00000000">
        <w:rPr>
          <w:rFonts w:ascii="Arial" w:cs="Arial" w:eastAsia="Arial" w:hAnsi="Arial"/>
          <w:rtl w:val="0"/>
        </w:rPr>
        <w:t xml:space="preserve">Abordaje diagnóstico a partir de la disnea</w:t>
      </w:r>
    </w:p>
    <w:p w:rsidR="00000000" w:rsidDel="00000000" w:rsidP="00000000" w:rsidRDefault="00000000" w:rsidRPr="00000000" w14:paraId="0000004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abordaje del paciente que consulta por disnea con sospecha de falla cardíaca aguda parte de la evaluación clínica dirigida y se complementa, donde esté disponible, con el estudio básico orientado a establecer la etiología:</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Electrocardiograma (EKG): para identificar isquemia, arritmias u otras causas desencadenantes.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Radiografía de tórax (placa): para evaluar congestión pulmonar, cardiomegalia y diagnósticos alternativos de la disnea.</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Troponinas: para evaluar daño miocárdico y orientar la etiología isquémica.</w:t>
      </w:r>
    </w:p>
    <w:p w:rsidR="00000000" w:rsidDel="00000000" w:rsidP="00000000" w:rsidRDefault="00000000" w:rsidRPr="00000000" w14:paraId="0000004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estudio básico permite diferenciar la falla cardíaca aguda de otras causas de disnea y orientar la conducta. Donde no esté disponible, se procede con la evaluación clínica y se valora la remisión.</w:t>
      </w:r>
    </w:p>
    <w:p w:rsidR="00000000" w:rsidDel="00000000" w:rsidP="00000000" w:rsidRDefault="00000000" w:rsidRPr="00000000" w14:paraId="00000047">
      <w:pPr>
        <w:pStyle w:val="Heading3"/>
        <w:rPr>
          <w:rFonts w:ascii="Arial" w:cs="Arial" w:eastAsia="Arial" w:hAnsi="Arial"/>
        </w:rPr>
      </w:pPr>
      <w:r w:rsidDel="00000000" w:rsidR="00000000" w:rsidRPr="00000000">
        <w:rPr>
          <w:rFonts w:ascii="Arial" w:cs="Arial" w:eastAsia="Arial" w:hAnsi="Arial"/>
          <w:rtl w:val="0"/>
        </w:rPr>
        <w:t xml:space="preserve">Clasificación hemodinámica según los perfiles de Stevenson</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6"/>
        <w:gridCol w:w="2207"/>
        <w:gridCol w:w="2207"/>
        <w:gridCol w:w="2208"/>
        <w:tblGridChange w:id="0">
          <w:tblGrid>
            <w:gridCol w:w="2206"/>
            <w:gridCol w:w="2207"/>
            <w:gridCol w:w="2207"/>
            <w:gridCol w:w="2208"/>
          </w:tblGrid>
        </w:tblGridChange>
      </w:tblGrid>
      <w:tr>
        <w:trPr>
          <w:cantSplit w:val="0"/>
          <w:tblHeader w:val="0"/>
        </w:trPr>
        <w:tc>
          <w:tcPr/>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Perfil</w:t>
            </w:r>
            <w:r w:rsidDel="00000000" w:rsidR="00000000" w:rsidRPr="00000000">
              <w:rPr>
                <w:rtl w:val="0"/>
              </w:rPr>
            </w:r>
          </w:p>
        </w:tc>
        <w:tc>
          <w:tcPr/>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Congestión</w:t>
            </w:r>
            <w:r w:rsidDel="00000000" w:rsidR="00000000" w:rsidRPr="00000000">
              <w:rPr>
                <w:rtl w:val="0"/>
              </w:rPr>
            </w:r>
          </w:p>
        </w:tc>
        <w:tc>
          <w:tcPr/>
          <w:p w:rsidR="00000000" w:rsidDel="00000000" w:rsidP="00000000" w:rsidRDefault="00000000" w:rsidRPr="00000000" w14:paraId="0000004A">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Perfusión</w:t>
            </w:r>
            <w:r w:rsidDel="00000000" w:rsidR="00000000" w:rsidRPr="00000000">
              <w:rPr>
                <w:rtl w:val="0"/>
              </w:rPr>
            </w:r>
          </w:p>
        </w:tc>
        <w:tc>
          <w:tcPr/>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04C">
            <w:pPr>
              <w:rPr>
                <w:rFonts w:ascii="Arial" w:cs="Arial" w:eastAsia="Arial" w:hAnsi="Arial"/>
                <w:sz w:val="24"/>
                <w:szCs w:val="24"/>
              </w:rPr>
            </w:pPr>
            <w:r w:rsidDel="00000000" w:rsidR="00000000" w:rsidRPr="00000000">
              <w:rPr>
                <w:rFonts w:ascii="Arial" w:cs="Arial" w:eastAsia="Arial" w:hAnsi="Arial"/>
                <w:sz w:val="24"/>
                <w:szCs w:val="24"/>
                <w:rtl w:val="0"/>
              </w:rPr>
              <w:t xml:space="preserve">A</w:t>
            </w:r>
          </w:p>
        </w:tc>
        <w:tc>
          <w:tcPr/>
          <w:p w:rsidR="00000000" w:rsidDel="00000000" w:rsidP="00000000" w:rsidRDefault="00000000" w:rsidRPr="00000000" w14:paraId="0000004D">
            <w:pPr>
              <w:rPr>
                <w:rFonts w:ascii="Arial" w:cs="Arial" w:eastAsia="Arial" w:hAnsi="Arial"/>
                <w:sz w:val="24"/>
                <w:szCs w:val="24"/>
              </w:rPr>
            </w:pPr>
            <w:r w:rsidDel="00000000" w:rsidR="00000000" w:rsidRPr="00000000">
              <w:rPr>
                <w:rFonts w:ascii="Arial" w:cs="Arial" w:eastAsia="Arial" w:hAnsi="Arial"/>
                <w:sz w:val="24"/>
                <w:szCs w:val="24"/>
                <w:rtl w:val="0"/>
              </w:rPr>
              <w:t xml:space="preserve">Seco</w:t>
            </w:r>
          </w:p>
        </w:tc>
        <w:tc>
          <w:tcPr/>
          <w:p w:rsidR="00000000" w:rsidDel="00000000" w:rsidP="00000000" w:rsidRDefault="00000000" w:rsidRPr="00000000" w14:paraId="0000004E">
            <w:pPr>
              <w:rPr>
                <w:rFonts w:ascii="Arial" w:cs="Arial" w:eastAsia="Arial" w:hAnsi="Arial"/>
                <w:sz w:val="24"/>
                <w:szCs w:val="24"/>
              </w:rPr>
            </w:pPr>
            <w:r w:rsidDel="00000000" w:rsidR="00000000" w:rsidRPr="00000000">
              <w:rPr>
                <w:rFonts w:ascii="Arial" w:cs="Arial" w:eastAsia="Arial" w:hAnsi="Arial"/>
                <w:sz w:val="24"/>
                <w:szCs w:val="24"/>
                <w:rtl w:val="0"/>
              </w:rPr>
              <w:t xml:space="preserve">Caliente</w:t>
            </w:r>
          </w:p>
        </w:tc>
        <w:tc>
          <w:tcPr/>
          <w:p w:rsidR="00000000" w:rsidDel="00000000" w:rsidP="00000000" w:rsidRDefault="00000000" w:rsidRPr="00000000" w14:paraId="0000004F">
            <w:pPr>
              <w:rPr>
                <w:rFonts w:ascii="Arial" w:cs="Arial" w:eastAsia="Arial" w:hAnsi="Arial"/>
                <w:sz w:val="24"/>
                <w:szCs w:val="24"/>
              </w:rPr>
            </w:pPr>
            <w:r w:rsidDel="00000000" w:rsidR="00000000" w:rsidRPr="00000000">
              <w:rPr>
                <w:rFonts w:ascii="Arial" w:cs="Arial" w:eastAsia="Arial" w:hAnsi="Arial"/>
                <w:sz w:val="24"/>
                <w:szCs w:val="24"/>
                <w:rtl w:val="0"/>
              </w:rPr>
              <w:t xml:space="preserve">Sin congestión y bien perfundido; compensado.</w:t>
            </w:r>
          </w:p>
        </w:tc>
      </w:tr>
      <w:tr>
        <w:trPr>
          <w:cantSplit w:val="0"/>
          <w:tblHeader w:val="0"/>
        </w:trPr>
        <w:tc>
          <w:tcPr/>
          <w:p w:rsidR="00000000" w:rsidDel="00000000" w:rsidP="00000000" w:rsidRDefault="00000000" w:rsidRPr="00000000" w14:paraId="00000050">
            <w:pPr>
              <w:rPr>
                <w:rFonts w:ascii="Arial" w:cs="Arial" w:eastAsia="Arial" w:hAnsi="Arial"/>
                <w:sz w:val="24"/>
                <w:szCs w:val="24"/>
              </w:rPr>
            </w:pPr>
            <w:r w:rsidDel="00000000" w:rsidR="00000000" w:rsidRPr="00000000">
              <w:rPr>
                <w:rFonts w:ascii="Arial" w:cs="Arial" w:eastAsia="Arial" w:hAnsi="Arial"/>
                <w:sz w:val="24"/>
                <w:szCs w:val="24"/>
                <w:rtl w:val="0"/>
              </w:rPr>
              <w:t xml:space="preserve">B</w:t>
            </w:r>
          </w:p>
        </w:tc>
        <w:tc>
          <w:tcPr/>
          <w:p w:rsidR="00000000" w:rsidDel="00000000" w:rsidP="00000000" w:rsidRDefault="00000000" w:rsidRPr="00000000" w14:paraId="00000051">
            <w:pPr>
              <w:rPr>
                <w:rFonts w:ascii="Arial" w:cs="Arial" w:eastAsia="Arial" w:hAnsi="Arial"/>
                <w:sz w:val="24"/>
                <w:szCs w:val="24"/>
              </w:rPr>
            </w:pPr>
            <w:r w:rsidDel="00000000" w:rsidR="00000000" w:rsidRPr="00000000">
              <w:rPr>
                <w:rFonts w:ascii="Arial" w:cs="Arial" w:eastAsia="Arial" w:hAnsi="Arial"/>
                <w:sz w:val="24"/>
                <w:szCs w:val="24"/>
                <w:rtl w:val="0"/>
              </w:rPr>
              <w:t xml:space="preserve">Húmedo</w:t>
            </w:r>
          </w:p>
        </w:tc>
        <w:tc>
          <w:tcPr/>
          <w:p w:rsidR="00000000" w:rsidDel="00000000" w:rsidP="00000000" w:rsidRDefault="00000000" w:rsidRPr="00000000" w14:paraId="00000052">
            <w:pPr>
              <w:rPr>
                <w:rFonts w:ascii="Arial" w:cs="Arial" w:eastAsia="Arial" w:hAnsi="Arial"/>
                <w:sz w:val="24"/>
                <w:szCs w:val="24"/>
              </w:rPr>
            </w:pPr>
            <w:r w:rsidDel="00000000" w:rsidR="00000000" w:rsidRPr="00000000">
              <w:rPr>
                <w:rFonts w:ascii="Arial" w:cs="Arial" w:eastAsia="Arial" w:hAnsi="Arial"/>
                <w:sz w:val="24"/>
                <w:szCs w:val="24"/>
                <w:rtl w:val="0"/>
              </w:rPr>
              <w:t xml:space="preserve">Caliente</w:t>
            </w:r>
          </w:p>
        </w:tc>
        <w:tc>
          <w:tcPr/>
          <w:p w:rsidR="00000000" w:rsidDel="00000000" w:rsidP="00000000" w:rsidRDefault="00000000" w:rsidRPr="00000000" w14:paraId="00000053">
            <w:pPr>
              <w:rPr>
                <w:rFonts w:ascii="Arial" w:cs="Arial" w:eastAsia="Arial" w:hAnsi="Arial"/>
                <w:sz w:val="24"/>
                <w:szCs w:val="24"/>
              </w:rPr>
            </w:pPr>
            <w:r w:rsidDel="00000000" w:rsidR="00000000" w:rsidRPr="00000000">
              <w:rPr>
                <w:rFonts w:ascii="Arial" w:cs="Arial" w:eastAsia="Arial" w:hAnsi="Arial"/>
                <w:sz w:val="24"/>
                <w:szCs w:val="24"/>
                <w:rtl w:val="0"/>
              </w:rPr>
              <w:t xml:space="preserve">Congestionado y bien perfundido; el más frecuente en urgencias.</w:t>
            </w:r>
          </w:p>
        </w:tc>
      </w:tr>
      <w:tr>
        <w:trPr>
          <w:cantSplit w:val="0"/>
          <w:tblHeader w:val="0"/>
        </w:trPr>
        <w:tc>
          <w:tcPr/>
          <w:p w:rsidR="00000000" w:rsidDel="00000000" w:rsidP="00000000" w:rsidRDefault="00000000" w:rsidRPr="00000000" w14:paraId="00000054">
            <w:pPr>
              <w:rPr>
                <w:rFonts w:ascii="Arial" w:cs="Arial" w:eastAsia="Arial" w:hAnsi="Arial"/>
                <w:sz w:val="24"/>
                <w:szCs w:val="24"/>
              </w:rPr>
            </w:pPr>
            <w:r w:rsidDel="00000000" w:rsidR="00000000" w:rsidRPr="00000000">
              <w:rPr>
                <w:rFonts w:ascii="Arial" w:cs="Arial" w:eastAsia="Arial" w:hAnsi="Arial"/>
                <w:sz w:val="24"/>
                <w:szCs w:val="24"/>
                <w:rtl w:val="0"/>
              </w:rPr>
              <w:t xml:space="preserve">C</w:t>
            </w:r>
          </w:p>
        </w:tc>
        <w:tc>
          <w:tcPr/>
          <w:p w:rsidR="00000000" w:rsidDel="00000000" w:rsidP="00000000" w:rsidRDefault="00000000" w:rsidRPr="00000000" w14:paraId="00000055">
            <w:pPr>
              <w:rPr>
                <w:rFonts w:ascii="Arial" w:cs="Arial" w:eastAsia="Arial" w:hAnsi="Arial"/>
                <w:sz w:val="24"/>
                <w:szCs w:val="24"/>
              </w:rPr>
            </w:pPr>
            <w:r w:rsidDel="00000000" w:rsidR="00000000" w:rsidRPr="00000000">
              <w:rPr>
                <w:rFonts w:ascii="Arial" w:cs="Arial" w:eastAsia="Arial" w:hAnsi="Arial"/>
                <w:sz w:val="24"/>
                <w:szCs w:val="24"/>
                <w:rtl w:val="0"/>
              </w:rPr>
              <w:t xml:space="preserve">Húmedo</w:t>
            </w:r>
          </w:p>
        </w:tc>
        <w:tc>
          <w:tcPr/>
          <w:p w:rsidR="00000000" w:rsidDel="00000000" w:rsidP="00000000" w:rsidRDefault="00000000" w:rsidRPr="00000000" w14:paraId="00000056">
            <w:pPr>
              <w:rPr>
                <w:rFonts w:ascii="Arial" w:cs="Arial" w:eastAsia="Arial" w:hAnsi="Arial"/>
                <w:sz w:val="24"/>
                <w:szCs w:val="24"/>
              </w:rPr>
            </w:pPr>
            <w:r w:rsidDel="00000000" w:rsidR="00000000" w:rsidRPr="00000000">
              <w:rPr>
                <w:rFonts w:ascii="Arial" w:cs="Arial" w:eastAsia="Arial" w:hAnsi="Arial"/>
                <w:sz w:val="24"/>
                <w:szCs w:val="24"/>
                <w:rtl w:val="0"/>
              </w:rPr>
              <w:t xml:space="preserve">Frío</w:t>
            </w:r>
          </w:p>
        </w:tc>
        <w:tc>
          <w:tcPr/>
          <w:p w:rsidR="00000000" w:rsidDel="00000000" w:rsidP="00000000" w:rsidRDefault="00000000" w:rsidRPr="00000000" w14:paraId="00000057">
            <w:pPr>
              <w:rPr>
                <w:rFonts w:ascii="Arial" w:cs="Arial" w:eastAsia="Arial" w:hAnsi="Arial"/>
                <w:sz w:val="24"/>
                <w:szCs w:val="24"/>
              </w:rPr>
            </w:pPr>
            <w:r w:rsidDel="00000000" w:rsidR="00000000" w:rsidRPr="00000000">
              <w:rPr>
                <w:rFonts w:ascii="Arial" w:cs="Arial" w:eastAsia="Arial" w:hAnsi="Arial"/>
                <w:sz w:val="24"/>
                <w:szCs w:val="24"/>
                <w:rtl w:val="0"/>
              </w:rPr>
              <w:t xml:space="preserve">Congestionado y mal perfundido (hipoperfusión); el de mayor gravedad.</w:t>
            </w:r>
          </w:p>
        </w:tc>
      </w:tr>
      <w:tr>
        <w:trPr>
          <w:cantSplit w:val="0"/>
          <w:tblHeader w:val="0"/>
        </w:trPr>
        <w:tc>
          <w:tcPr/>
          <w:p w:rsidR="00000000" w:rsidDel="00000000" w:rsidP="00000000" w:rsidRDefault="00000000" w:rsidRPr="00000000" w14:paraId="00000058">
            <w:pPr>
              <w:rPr>
                <w:rFonts w:ascii="Arial" w:cs="Arial" w:eastAsia="Arial" w:hAnsi="Arial"/>
                <w:sz w:val="24"/>
                <w:szCs w:val="24"/>
              </w:rPr>
            </w:pPr>
            <w:r w:rsidDel="00000000" w:rsidR="00000000" w:rsidRPr="00000000">
              <w:rPr>
                <w:rFonts w:ascii="Arial" w:cs="Arial" w:eastAsia="Arial" w:hAnsi="Arial"/>
                <w:sz w:val="24"/>
                <w:szCs w:val="24"/>
                <w:rtl w:val="0"/>
              </w:rPr>
              <w:t xml:space="preserve">L</w:t>
            </w:r>
          </w:p>
        </w:tc>
        <w:tc>
          <w:tcPr/>
          <w:p w:rsidR="00000000" w:rsidDel="00000000" w:rsidP="00000000" w:rsidRDefault="00000000" w:rsidRPr="00000000" w14:paraId="00000059">
            <w:pPr>
              <w:rPr>
                <w:rFonts w:ascii="Arial" w:cs="Arial" w:eastAsia="Arial" w:hAnsi="Arial"/>
                <w:sz w:val="24"/>
                <w:szCs w:val="24"/>
              </w:rPr>
            </w:pPr>
            <w:r w:rsidDel="00000000" w:rsidR="00000000" w:rsidRPr="00000000">
              <w:rPr>
                <w:rFonts w:ascii="Arial" w:cs="Arial" w:eastAsia="Arial" w:hAnsi="Arial"/>
                <w:sz w:val="24"/>
                <w:szCs w:val="24"/>
                <w:rtl w:val="0"/>
              </w:rPr>
              <w:t xml:space="preserve">Seco</w:t>
            </w:r>
          </w:p>
        </w:tc>
        <w:tc>
          <w:tcPr/>
          <w:p w:rsidR="00000000" w:rsidDel="00000000" w:rsidP="00000000" w:rsidRDefault="00000000" w:rsidRPr="00000000" w14:paraId="0000005A">
            <w:pPr>
              <w:rPr>
                <w:rFonts w:ascii="Arial" w:cs="Arial" w:eastAsia="Arial" w:hAnsi="Arial"/>
                <w:sz w:val="24"/>
                <w:szCs w:val="24"/>
              </w:rPr>
            </w:pPr>
            <w:r w:rsidDel="00000000" w:rsidR="00000000" w:rsidRPr="00000000">
              <w:rPr>
                <w:rFonts w:ascii="Arial" w:cs="Arial" w:eastAsia="Arial" w:hAnsi="Arial"/>
                <w:sz w:val="24"/>
                <w:szCs w:val="24"/>
                <w:rtl w:val="0"/>
              </w:rPr>
              <w:t xml:space="preserve">Frío</w:t>
            </w:r>
          </w:p>
        </w:tc>
        <w:tc>
          <w:tcPr/>
          <w:p w:rsidR="00000000" w:rsidDel="00000000" w:rsidP="00000000" w:rsidRDefault="00000000" w:rsidRPr="00000000" w14:paraId="0000005B">
            <w:pPr>
              <w:rPr>
                <w:rFonts w:ascii="Arial" w:cs="Arial" w:eastAsia="Arial" w:hAnsi="Arial"/>
                <w:sz w:val="24"/>
                <w:szCs w:val="24"/>
              </w:rPr>
            </w:pPr>
            <w:r w:rsidDel="00000000" w:rsidR="00000000" w:rsidRPr="00000000">
              <w:rPr>
                <w:rFonts w:ascii="Arial" w:cs="Arial" w:eastAsia="Arial" w:hAnsi="Arial"/>
                <w:sz w:val="24"/>
                <w:szCs w:val="24"/>
                <w:rtl w:val="0"/>
              </w:rPr>
              <w:t xml:space="preserve">Sin congestión pero mal perfundido; menos frecuente.</w:t>
            </w:r>
          </w:p>
        </w:tc>
      </w:tr>
    </w:tbl>
    <w:p w:rsidR="00000000" w:rsidDel="00000000" w:rsidP="00000000" w:rsidRDefault="00000000" w:rsidRPr="00000000" w14:paraId="0000005C">
      <w:pPr>
        <w:pStyle w:val="Heading3"/>
        <w:rPr>
          <w:rFonts w:ascii="Arial" w:cs="Arial" w:eastAsia="Arial" w:hAnsi="Arial"/>
        </w:rPr>
      </w:pPr>
      <w:r w:rsidDel="00000000" w:rsidR="00000000" w:rsidRPr="00000000">
        <w:rPr>
          <w:rFonts w:ascii="Arial" w:cs="Arial" w:eastAsia="Arial" w:hAnsi="Arial"/>
          <w:rtl w:val="0"/>
        </w:rPr>
        <w:t xml:space="preserve">Orientación terapéutica según el perfil hemodinámico</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Perfil B (húmedo y caliente): el objetivo es la descongestión. Se orienta el tratamiento con diuréticos de asa y, según la presión arterial, vasodilatadores.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Perfil C (húmedo y frío): se trata del perfil de mayor gravedad, con congestión e hipoperfusión. Requiere descongestión y soporte de la perfusión; según la situación hemodinámica puede requerir inotrópicos, y es el perfil que con mayor frecuencia obliga a considerar la remisión.</w:t>
      </w:r>
    </w:p>
    <w:p w:rsidR="00000000" w:rsidDel="00000000" w:rsidP="00000000" w:rsidRDefault="00000000" w:rsidRPr="00000000" w14:paraId="0000005F">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 Criterios de Inclusión  y de  Exclusión en Telesalud</w:t>
      </w:r>
    </w:p>
    <w:p w:rsidR="00000000" w:rsidDel="00000000" w:rsidP="00000000" w:rsidRDefault="00000000" w:rsidRPr="00000000" w14:paraId="00000060">
      <w:pPr>
        <w:pStyle w:val="Heading3"/>
        <w:rPr>
          <w:rFonts w:ascii="Arial" w:cs="Arial" w:eastAsia="Arial" w:hAnsi="Arial"/>
        </w:rPr>
      </w:pPr>
      <w:r w:rsidDel="00000000" w:rsidR="00000000" w:rsidRPr="00000000">
        <w:rPr>
          <w:rFonts w:ascii="Arial" w:cs="Arial" w:eastAsia="Arial" w:hAnsi="Arial"/>
          <w:rtl w:val="0"/>
        </w:rPr>
        <w:t xml:space="preserve">Criterios de Inclusión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Pacientes con disnea y sospecha de falla cardíaca aguda que requieren orientación diagnóstica y terapéutica.</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Pacientes que requieren apoyo para la clasificación hemodinámica según los perfiles de Stevenson.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Pacientes con perfil B o C que requieren orientación terapéutica.</w:t>
      </w:r>
    </w:p>
    <w:p w:rsidR="00000000" w:rsidDel="00000000" w:rsidP="00000000" w:rsidRDefault="00000000" w:rsidRPr="00000000" w14:paraId="00000064">
      <w:pPr>
        <w:pStyle w:val="Heading3"/>
        <w:rPr>
          <w:rFonts w:ascii="Arial" w:cs="Arial" w:eastAsia="Arial" w:hAnsi="Arial"/>
        </w:rPr>
      </w:pPr>
      <w:r w:rsidDel="00000000" w:rsidR="00000000" w:rsidRPr="00000000">
        <w:rPr>
          <w:rFonts w:ascii="Arial" w:cs="Arial" w:eastAsia="Arial" w:hAnsi="Arial"/>
          <w:rtl w:val="0"/>
        </w:rPr>
        <w:t xml:space="preserve">Criterios de Exclusión  </w:t>
      </w:r>
    </w:p>
    <w:p w:rsidR="00000000" w:rsidDel="00000000" w:rsidP="00000000" w:rsidRDefault="00000000" w:rsidRPr="00000000" w14:paraId="00000065">
      <w:pPr>
        <w:pStyle w:val="Heading3"/>
        <w:numPr>
          <w:ilvl w:val="0"/>
          <w:numId w:val="2"/>
        </w:numPr>
        <w:ind w:left="360" w:hanging="360"/>
        <w:rPr>
          <w:rFonts w:ascii="Arial" w:cs="Arial" w:eastAsia="Arial" w:hAnsi="Arial"/>
        </w:rPr>
      </w:pPr>
      <w:r w:rsidDel="00000000" w:rsidR="00000000" w:rsidRPr="00000000">
        <w:rPr>
          <w:rFonts w:ascii="Arial" w:cs="Arial" w:eastAsia="Arial" w:hAnsi="Arial"/>
          <w:rtl w:val="0"/>
        </w:rPr>
        <w:t xml:space="preserve">Pacientes con falla cardíaca de novo, que deben ser considerados para remisión.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Pacientes con hipotensión, que deben ser considerados para remisión.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Paro cardiorrespiratorio, shock cardiogénico establecido o inestabilidad hemodinámica grave que exigen manejo presencial inmediato.</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Insuficiencia respiratoria que requiere soporte ventilatorio avanzado.</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Falla de conectividad o ausencia de datos clínicos mínimos para la valoración.</w:t>
      </w:r>
    </w:p>
    <w:p w:rsidR="00000000" w:rsidDel="00000000" w:rsidP="00000000" w:rsidRDefault="00000000" w:rsidRPr="00000000" w14:paraId="0000006A">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9. Roles y Responsabilidades en Telesalud</w:t>
      </w:r>
    </w:p>
    <w:p w:rsidR="00000000" w:rsidDel="00000000" w:rsidP="00000000" w:rsidRDefault="00000000" w:rsidRPr="00000000" w14:paraId="0000006B">
      <w:pPr>
        <w:pStyle w:val="Heading3"/>
        <w:rPr>
          <w:rFonts w:ascii="Arial" w:cs="Arial" w:eastAsia="Arial" w:hAnsi="Arial"/>
        </w:rPr>
      </w:pPr>
      <w:r w:rsidDel="00000000" w:rsidR="00000000" w:rsidRPr="00000000">
        <w:rPr>
          <w:rFonts w:ascii="Arial" w:cs="Arial" w:eastAsia="Arial" w:hAnsi="Arial"/>
          <w:rtl w:val="0"/>
        </w:rPr>
        <w:t xml:space="preserve">Profesional solicitante (Centro Remisor)</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Generar la solicitud formal de tele-experticia con información clínica clara, completa y pertinente.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Ejecutar de inmediato las medidas iniciales de ABC</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Realizar, donde esté disponible, el estudio básico (EKG, radiografía de tórax y troponinas) y compartir los resultados.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Asegurar el consentimiento informado del paciente para el uso de medios tecnológicos.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Implementar las recomendaciones emitidas y registrar la conducta en la historia clínica.</w:t>
      </w:r>
    </w:p>
    <w:p w:rsidR="00000000" w:rsidDel="00000000" w:rsidP="00000000" w:rsidRDefault="00000000" w:rsidRPr="00000000" w14:paraId="00000071">
      <w:pPr>
        <w:pStyle w:val="Heading3"/>
        <w:rPr>
          <w:rFonts w:ascii="Arial" w:cs="Arial" w:eastAsia="Arial" w:hAnsi="Arial"/>
        </w:rPr>
      </w:pPr>
      <w:r w:rsidDel="00000000" w:rsidR="00000000" w:rsidRPr="00000000">
        <w:rPr>
          <w:rFonts w:ascii="Arial" w:cs="Arial" w:eastAsia="Arial" w:hAnsi="Arial"/>
          <w:rtl w:val="0"/>
        </w:rPr>
        <w:t xml:space="preserve">Profesional experto (Centro Referente)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Analizar la información recibida y apoyar la clasificación hemodinámica según los perfiles de Stevenson.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Emitir recomendaciones terapéuticas fundamentadas en la evidencia, con énfasis en los perfiles B y C.</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Orientar el estudio etiológico y definir la necesidad de remisión.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Registrar la opinión médica en la historia clínica y respetar los tiempos de respuesta establecidos.</w:t>
      </w:r>
    </w:p>
    <w:p w:rsidR="00000000" w:rsidDel="00000000" w:rsidP="00000000" w:rsidRDefault="00000000" w:rsidRPr="00000000" w14:paraId="00000076">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 Tiempos de Respuesta Sugeridos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Emergencia vital (shock cardiogénico, inestabilidad hemodinámica, insuficiencia respiratoria): atención presencial inmediata; la remisión no se condiciona a la respuesta del experto.</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Urgencia prioritaria (perfil C o paciente con hipotensión): respuesta sincrónica en menos de 15 a 30 minutos.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Urgencia (perfil B con disnea significativa): respuesta dentro de la primera hora.</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Orientación diagnóstica en paciente estable: según el flujo del servicio de urgencias.</w:t>
      </w:r>
    </w:p>
    <w:p w:rsidR="00000000" w:rsidDel="00000000" w:rsidP="00000000" w:rsidRDefault="00000000" w:rsidRPr="00000000" w14:paraId="0000007B">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11. Estrategias de Humanización Digital y Diálogo Intercultural</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Empatía mediada por tecnología: el profesional presencial actúa como puente humano del especialista, transmitiendo calma al paciente disneico y a su familia.</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Diálogo intercultural: respeto a las cosmovisiones, creencias y autonomía del paciente en la toma de decisiones.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Reserva y confidencialidad digital: protección de la privacidad del paciente durante la interconsulta.</w:t>
      </w:r>
    </w:p>
    <w:p w:rsidR="00000000" w:rsidDel="00000000" w:rsidP="00000000" w:rsidRDefault="00000000" w:rsidRPr="00000000" w14:paraId="0000007F">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12. Indicadores de Calidad y Seguimiento</w:t>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2943"/>
        <w:gridCol w:w="2942"/>
        <w:tblGridChange w:id="0">
          <w:tblGrid>
            <w:gridCol w:w="2943"/>
            <w:gridCol w:w="2943"/>
            <w:gridCol w:w="2942"/>
          </w:tblGrid>
        </w:tblGridChange>
      </w:tblGrid>
      <w:tr>
        <w:trPr>
          <w:cantSplit w:val="0"/>
          <w:tblHeader w:val="0"/>
        </w:trPr>
        <w:tc>
          <w:tcPr/>
          <w:p w:rsidR="00000000" w:rsidDel="00000000" w:rsidP="00000000" w:rsidRDefault="00000000" w:rsidRPr="00000000" w14:paraId="0000008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Indicador</w:t>
            </w:r>
            <w:r w:rsidDel="00000000" w:rsidR="00000000" w:rsidRPr="00000000">
              <w:rPr>
                <w:rtl w:val="0"/>
              </w:rPr>
            </w:r>
          </w:p>
        </w:tc>
        <w:tc>
          <w:tcPr/>
          <w:p w:rsidR="00000000" w:rsidDel="00000000" w:rsidP="00000000" w:rsidRDefault="00000000" w:rsidRPr="00000000" w14:paraId="0000008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Definición</w:t>
            </w:r>
            <w:r w:rsidDel="00000000" w:rsidR="00000000" w:rsidRPr="00000000">
              <w:rPr>
                <w:rtl w:val="0"/>
              </w:rPr>
            </w:r>
          </w:p>
        </w:tc>
        <w:tc>
          <w:tcPr/>
          <w:p w:rsidR="00000000" w:rsidDel="00000000" w:rsidP="00000000" w:rsidRDefault="00000000" w:rsidRPr="00000000" w14:paraId="0000008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83">
            <w:pPr>
              <w:rPr>
                <w:rFonts w:ascii="Arial" w:cs="Arial" w:eastAsia="Arial" w:hAnsi="Arial"/>
                <w:sz w:val="24"/>
                <w:szCs w:val="24"/>
              </w:rPr>
            </w:pPr>
            <w:r w:rsidDel="00000000" w:rsidR="00000000" w:rsidRPr="00000000">
              <w:rPr>
                <w:rFonts w:ascii="Arial" w:cs="Arial" w:eastAsia="Arial" w:hAnsi="Arial"/>
                <w:sz w:val="24"/>
                <w:szCs w:val="24"/>
                <w:rtl w:val="0"/>
              </w:rPr>
              <w:t xml:space="preserve">Clasificación hemodinámica documentada</w:t>
            </w:r>
          </w:p>
        </w:tc>
        <w:tc>
          <w:tcPr/>
          <w:p w:rsidR="00000000" w:rsidDel="00000000" w:rsidP="00000000" w:rsidRDefault="00000000" w:rsidRPr="00000000" w14:paraId="00000084">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con perfil de Stevenson registrado</w:t>
            </w:r>
          </w:p>
        </w:tc>
        <w:tc>
          <w:tcPr/>
          <w:p w:rsidR="00000000" w:rsidDel="00000000" w:rsidP="00000000" w:rsidRDefault="00000000" w:rsidRPr="00000000" w14:paraId="00000085">
            <w:pPr>
              <w:rPr>
                <w:rFonts w:ascii="Arial" w:cs="Arial" w:eastAsia="Arial" w:hAnsi="Arial"/>
                <w:sz w:val="24"/>
                <w:szCs w:val="24"/>
              </w:rPr>
            </w:pPr>
            <w:sdt>
              <w:sdtPr>
                <w:id w:val="312457042"/>
                <w:tag w:val="goog_rdk_0"/>
              </w:sdtPr>
              <w:sdtContent>
                <w:r w:rsidDel="00000000" w:rsidR="00000000" w:rsidRPr="00000000">
                  <w:rPr>
                    <w:rFonts w:ascii="Arial Unicode MS" w:cs="Arial Unicode MS" w:eastAsia="Arial Unicode MS" w:hAnsi="Arial Unicode MS"/>
                    <w:sz w:val="24"/>
                    <w:szCs w:val="24"/>
                    <w:rtl w:val="0"/>
                  </w:rPr>
                  <w:t xml:space="preserve">≥ 95 %</w:t>
                </w:r>
              </w:sdtContent>
            </w:sdt>
          </w:p>
        </w:tc>
      </w:tr>
      <w:tr>
        <w:trPr>
          <w:cantSplit w:val="0"/>
          <w:tblHeader w:val="0"/>
        </w:trPr>
        <w:tc>
          <w:tcPr/>
          <w:p w:rsidR="00000000" w:rsidDel="00000000" w:rsidP="00000000" w:rsidRDefault="00000000" w:rsidRPr="00000000" w14:paraId="00000086">
            <w:pPr>
              <w:rPr>
                <w:rFonts w:ascii="Arial" w:cs="Arial" w:eastAsia="Arial" w:hAnsi="Arial"/>
                <w:sz w:val="24"/>
                <w:szCs w:val="24"/>
              </w:rPr>
            </w:pPr>
            <w:r w:rsidDel="00000000" w:rsidR="00000000" w:rsidRPr="00000000">
              <w:rPr>
                <w:rFonts w:ascii="Arial" w:cs="Arial" w:eastAsia="Arial" w:hAnsi="Arial"/>
                <w:sz w:val="24"/>
                <w:szCs w:val="24"/>
                <w:rtl w:val="0"/>
              </w:rPr>
              <w:t xml:space="preserve">Realización del estudio básico</w:t>
            </w:r>
          </w:p>
        </w:tc>
        <w:tc>
          <w:tcPr/>
          <w:p w:rsidR="00000000" w:rsidDel="00000000" w:rsidP="00000000" w:rsidRDefault="00000000" w:rsidRPr="00000000" w14:paraId="00000087">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con EKG, radiografía y troponinas donde está disponible</w:t>
            </w:r>
          </w:p>
        </w:tc>
        <w:tc>
          <w:tcPr/>
          <w:p w:rsidR="00000000" w:rsidDel="00000000" w:rsidP="00000000" w:rsidRDefault="00000000" w:rsidRPr="00000000" w14:paraId="00000088">
            <w:pPr>
              <w:rPr>
                <w:rFonts w:ascii="Arial" w:cs="Arial" w:eastAsia="Arial" w:hAnsi="Arial"/>
                <w:sz w:val="24"/>
                <w:szCs w:val="24"/>
              </w:rPr>
            </w:pPr>
            <w:sdt>
              <w:sdtPr>
                <w:id w:val="-397236031"/>
                <w:tag w:val="goog_rdk_1"/>
              </w:sdtPr>
              <w:sdtContent>
                <w:r w:rsidDel="00000000" w:rsidR="00000000" w:rsidRPr="00000000">
                  <w:rPr>
                    <w:rFonts w:ascii="Arial Unicode MS" w:cs="Arial Unicode MS" w:eastAsia="Arial Unicode MS" w:hAnsi="Arial Unicode MS"/>
                    <w:sz w:val="24"/>
                    <w:szCs w:val="24"/>
                    <w:rtl w:val="0"/>
                  </w:rPr>
                  <w:t xml:space="preserve">≥ 90 %</w:t>
                </w:r>
              </w:sdtContent>
            </w:sdt>
          </w:p>
        </w:tc>
      </w:tr>
      <w:tr>
        <w:trPr>
          <w:cantSplit w:val="0"/>
          <w:tblHeader w:val="0"/>
        </w:trPr>
        <w:tc>
          <w:tcPr/>
          <w:p w:rsidR="00000000" w:rsidDel="00000000" w:rsidP="00000000" w:rsidRDefault="00000000" w:rsidRPr="00000000" w14:paraId="00000089">
            <w:pPr>
              <w:rPr>
                <w:rFonts w:ascii="Arial" w:cs="Arial" w:eastAsia="Arial" w:hAnsi="Arial"/>
                <w:sz w:val="24"/>
                <w:szCs w:val="24"/>
              </w:rPr>
            </w:pPr>
            <w:r w:rsidDel="00000000" w:rsidR="00000000" w:rsidRPr="00000000">
              <w:rPr>
                <w:rFonts w:ascii="Arial" w:cs="Arial" w:eastAsia="Arial" w:hAnsi="Arial"/>
                <w:sz w:val="24"/>
                <w:szCs w:val="24"/>
                <w:rtl w:val="0"/>
              </w:rPr>
              <w:t xml:space="preserve">Oportunidad de respuesta en perfil C o hipotensión</w:t>
            </w:r>
          </w:p>
        </w:tc>
        <w:tc>
          <w:tcPr/>
          <w:p w:rsidR="00000000" w:rsidDel="00000000" w:rsidP="00000000" w:rsidRDefault="00000000" w:rsidRPr="00000000" w14:paraId="0000008A">
            <w:pPr>
              <w:rPr>
                <w:rFonts w:ascii="Arial" w:cs="Arial" w:eastAsia="Arial" w:hAnsi="Arial"/>
                <w:sz w:val="24"/>
                <w:szCs w:val="24"/>
              </w:rPr>
            </w:pPr>
            <w:r w:rsidDel="00000000" w:rsidR="00000000" w:rsidRPr="00000000">
              <w:rPr>
                <w:rFonts w:ascii="Arial" w:cs="Arial" w:eastAsia="Arial" w:hAnsi="Arial"/>
                <w:sz w:val="24"/>
                <w:szCs w:val="24"/>
                <w:rtl w:val="0"/>
              </w:rPr>
              <w:t xml:space="preserve">% de solicitudes urgentes respondidas en menos de 30 minutos</w:t>
            </w:r>
          </w:p>
        </w:tc>
        <w:tc>
          <w:tcPr/>
          <w:p w:rsidR="00000000" w:rsidDel="00000000" w:rsidP="00000000" w:rsidRDefault="00000000" w:rsidRPr="00000000" w14:paraId="0000008B">
            <w:pPr>
              <w:rPr>
                <w:rFonts w:ascii="Arial" w:cs="Arial" w:eastAsia="Arial" w:hAnsi="Arial"/>
                <w:sz w:val="24"/>
                <w:szCs w:val="24"/>
              </w:rPr>
            </w:pPr>
            <w:sdt>
              <w:sdtPr>
                <w:id w:val="-777813111"/>
                <w:tag w:val="goog_rdk_2"/>
              </w:sdtPr>
              <w:sdtContent>
                <w:r w:rsidDel="00000000" w:rsidR="00000000" w:rsidRPr="00000000">
                  <w:rPr>
                    <w:rFonts w:ascii="Arial Unicode MS" w:cs="Arial Unicode MS" w:eastAsia="Arial Unicode MS" w:hAnsi="Arial Unicode MS"/>
                    <w:sz w:val="24"/>
                    <w:szCs w:val="24"/>
                    <w:rtl w:val="0"/>
                  </w:rPr>
                  <w:t xml:space="preserve">≥ 90 %</w:t>
                </w:r>
              </w:sdtContent>
            </w:sdt>
          </w:p>
        </w:tc>
      </w:tr>
      <w:tr>
        <w:trPr>
          <w:cantSplit w:val="0"/>
          <w:tblHeader w:val="0"/>
        </w:trPr>
        <w:tc>
          <w:tcPr/>
          <w:p w:rsidR="00000000" w:rsidDel="00000000" w:rsidP="00000000" w:rsidRDefault="00000000" w:rsidRPr="00000000" w14:paraId="0000008C">
            <w:pPr>
              <w:rPr>
                <w:rFonts w:ascii="Arial" w:cs="Arial" w:eastAsia="Arial" w:hAnsi="Arial"/>
                <w:sz w:val="24"/>
                <w:szCs w:val="24"/>
              </w:rPr>
            </w:pPr>
            <w:r w:rsidDel="00000000" w:rsidR="00000000" w:rsidRPr="00000000">
              <w:rPr>
                <w:rFonts w:ascii="Arial" w:cs="Arial" w:eastAsia="Arial" w:hAnsi="Arial"/>
                <w:sz w:val="24"/>
                <w:szCs w:val="24"/>
                <w:rtl w:val="0"/>
              </w:rPr>
              <w:t xml:space="preserve">Remisión de pacientes de novo o con hipotensión</w:t>
            </w:r>
          </w:p>
        </w:tc>
        <w:tc>
          <w:tcPr/>
          <w:p w:rsidR="00000000" w:rsidDel="00000000" w:rsidP="00000000" w:rsidRDefault="00000000" w:rsidRPr="00000000" w14:paraId="0000008D">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de novo o con hipotensión considerados para remisión</w:t>
            </w:r>
          </w:p>
        </w:tc>
        <w:tc>
          <w:tcPr/>
          <w:p w:rsidR="00000000" w:rsidDel="00000000" w:rsidP="00000000" w:rsidRDefault="00000000" w:rsidRPr="00000000" w14:paraId="0000008E">
            <w:pPr>
              <w:rPr>
                <w:rFonts w:ascii="Arial" w:cs="Arial" w:eastAsia="Arial" w:hAnsi="Arial"/>
                <w:sz w:val="24"/>
                <w:szCs w:val="24"/>
              </w:rPr>
            </w:pPr>
            <w:r w:rsidDel="00000000" w:rsidR="00000000" w:rsidRPr="00000000">
              <w:rPr>
                <w:rFonts w:ascii="Arial" w:cs="Arial" w:eastAsia="Arial" w:hAnsi="Arial"/>
                <w:sz w:val="24"/>
                <w:szCs w:val="24"/>
                <w:rtl w:val="0"/>
              </w:rPr>
              <w:t xml:space="preserve">100 %</w:t>
            </w:r>
          </w:p>
        </w:tc>
      </w:tr>
      <w:tr>
        <w:trPr>
          <w:cantSplit w:val="0"/>
          <w:tblHeader w:val="0"/>
        </w:trPr>
        <w:tc>
          <w:tcPr/>
          <w:p w:rsidR="00000000" w:rsidDel="00000000" w:rsidP="00000000" w:rsidRDefault="00000000" w:rsidRPr="00000000" w14:paraId="0000008F">
            <w:pPr>
              <w:rPr>
                <w:rFonts w:ascii="Arial" w:cs="Arial" w:eastAsia="Arial" w:hAnsi="Arial"/>
                <w:sz w:val="24"/>
                <w:szCs w:val="24"/>
              </w:rPr>
            </w:pPr>
            <w:r w:rsidDel="00000000" w:rsidR="00000000" w:rsidRPr="00000000">
              <w:rPr>
                <w:rFonts w:ascii="Arial" w:cs="Arial" w:eastAsia="Arial" w:hAnsi="Arial"/>
                <w:sz w:val="24"/>
                <w:szCs w:val="24"/>
                <w:rtl w:val="0"/>
              </w:rPr>
              <w:t xml:space="preserve">Registro en historia clínica</w:t>
            </w:r>
          </w:p>
        </w:tc>
        <w:tc>
          <w:tcPr/>
          <w:p w:rsidR="00000000" w:rsidDel="00000000" w:rsidP="00000000" w:rsidRDefault="00000000" w:rsidRPr="00000000" w14:paraId="00000090">
            <w:pPr>
              <w:rPr>
                <w:rFonts w:ascii="Arial" w:cs="Arial" w:eastAsia="Arial" w:hAnsi="Arial"/>
                <w:sz w:val="24"/>
                <w:szCs w:val="24"/>
              </w:rPr>
            </w:pPr>
            <w:r w:rsidDel="00000000" w:rsidR="00000000" w:rsidRPr="00000000">
              <w:rPr>
                <w:rFonts w:ascii="Arial" w:cs="Arial" w:eastAsia="Arial" w:hAnsi="Arial"/>
                <w:sz w:val="24"/>
                <w:szCs w:val="24"/>
                <w:rtl w:val="0"/>
              </w:rPr>
              <w:t xml:space="preserve">% de conceptos de tele-experticia registrados en la historia clínica</w:t>
            </w:r>
          </w:p>
        </w:tc>
        <w:tc>
          <w:tcPr/>
          <w:p w:rsidR="00000000" w:rsidDel="00000000" w:rsidP="00000000" w:rsidRDefault="00000000" w:rsidRPr="00000000" w14:paraId="00000091">
            <w:pPr>
              <w:rPr>
                <w:rFonts w:ascii="Arial" w:cs="Arial" w:eastAsia="Arial" w:hAnsi="Arial"/>
                <w:sz w:val="24"/>
                <w:szCs w:val="24"/>
              </w:rPr>
            </w:pPr>
            <w:r w:rsidDel="00000000" w:rsidR="00000000" w:rsidRPr="00000000">
              <w:rPr>
                <w:rFonts w:ascii="Arial" w:cs="Arial" w:eastAsia="Arial" w:hAnsi="Arial"/>
                <w:sz w:val="24"/>
                <w:szCs w:val="24"/>
                <w:rtl w:val="0"/>
              </w:rPr>
              <w:t xml:space="preserve">100 %</w:t>
            </w:r>
          </w:p>
        </w:tc>
      </w:tr>
      <w:tr>
        <w:trPr>
          <w:cantSplit w:val="0"/>
          <w:tblHeader w:val="0"/>
        </w:trPr>
        <w:tc>
          <w:tcPr/>
          <w:p w:rsidR="00000000" w:rsidDel="00000000" w:rsidP="00000000" w:rsidRDefault="00000000" w:rsidRPr="00000000" w14:paraId="00000092">
            <w:pPr>
              <w:rPr>
                <w:rFonts w:ascii="Arial" w:cs="Arial" w:eastAsia="Arial" w:hAnsi="Arial"/>
                <w:sz w:val="24"/>
                <w:szCs w:val="24"/>
              </w:rPr>
            </w:pPr>
            <w:r w:rsidDel="00000000" w:rsidR="00000000" w:rsidRPr="00000000">
              <w:rPr>
                <w:rFonts w:ascii="Arial" w:cs="Arial" w:eastAsia="Arial" w:hAnsi="Arial"/>
                <w:sz w:val="24"/>
                <w:szCs w:val="24"/>
                <w:rtl w:val="0"/>
              </w:rPr>
              <w:t xml:space="preserve">Evaluación etiológica orientada</w:t>
            </w:r>
          </w:p>
        </w:tc>
        <w:tc>
          <w:tcPr/>
          <w:p w:rsidR="00000000" w:rsidDel="00000000" w:rsidP="00000000" w:rsidRDefault="00000000" w:rsidRPr="00000000" w14:paraId="00000093">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con orientación etiológica documentada</w:t>
            </w:r>
          </w:p>
        </w:tc>
        <w:tc>
          <w:tcPr/>
          <w:p w:rsidR="00000000" w:rsidDel="00000000" w:rsidP="00000000" w:rsidRDefault="00000000" w:rsidRPr="00000000" w14:paraId="00000094">
            <w:pPr>
              <w:rPr>
                <w:rFonts w:ascii="Arial" w:cs="Arial" w:eastAsia="Arial" w:hAnsi="Arial"/>
                <w:sz w:val="24"/>
                <w:szCs w:val="24"/>
              </w:rPr>
            </w:pPr>
            <w:sdt>
              <w:sdtPr>
                <w:id w:val="-751097641"/>
                <w:tag w:val="goog_rdk_3"/>
              </w:sdtPr>
              <w:sdtContent>
                <w:r w:rsidDel="00000000" w:rsidR="00000000" w:rsidRPr="00000000">
                  <w:rPr>
                    <w:rFonts w:ascii="Arial Unicode MS" w:cs="Arial Unicode MS" w:eastAsia="Arial Unicode MS" w:hAnsi="Arial Unicode MS"/>
                    <w:sz w:val="24"/>
                    <w:szCs w:val="24"/>
                    <w:rtl w:val="0"/>
                  </w:rPr>
                  <w:t xml:space="preserve">≥ 85 %</w:t>
                </w:r>
              </w:sdtContent>
            </w:sdt>
          </w:p>
        </w:tc>
      </w:tr>
    </w:tbl>
    <w:p w:rsidR="00000000" w:rsidDel="00000000" w:rsidP="00000000" w:rsidRDefault="00000000" w:rsidRPr="00000000" w14:paraId="00000095">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13. Bibliografía</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Savarese G, Becher PM, Lund LH, et al. Global burden of heart failure: a comprehensive and updated review of epidemiology. </w:t>
      </w:r>
      <w:r w:rsidDel="00000000" w:rsidR="00000000" w:rsidRPr="00000000">
        <w:rPr>
          <w:rFonts w:ascii="Arial" w:cs="Arial" w:eastAsia="Arial" w:hAnsi="Arial"/>
          <w:color w:val="333333"/>
          <w:sz w:val="24"/>
          <w:szCs w:val="24"/>
          <w:rtl w:val="0"/>
        </w:rPr>
        <w:t xml:space="preserve">Cardiovasculares</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Res. 2023;118(17):3272-3287.</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Groenewegen A, Rutten FH, Mosterd A, Hoes AW. Epidemiology of heart failure. Eur J Heart Fail. 2020.</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McDonagh TA, Metra M, Adamo M, et al. 2023 Focused Update of the 2021 ESC Guidelines for the diagnosis and treatment of acute and chronic heart failure. Eur J Heart Fail. 2024;26:5-17.</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Stevenson LW. Tailored therapy to hemodynamic goals for advanced heart failure. Eur J Heart Fail. 1999.</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Heart Failure Society of America. HF Stats 2024: Heart Failure Epidemiology and Outcomes Statistics. J Card Fail. 2024.</w:t>
      </w:r>
    </w:p>
    <w:p w:rsidR="00000000" w:rsidDel="00000000" w:rsidP="00000000" w:rsidRDefault="00000000" w:rsidRPr="00000000" w14:paraId="0000009B">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14. Responsables</w:t>
      </w:r>
    </w:p>
    <w:p w:rsidR="00000000" w:rsidDel="00000000" w:rsidP="00000000" w:rsidRDefault="00000000" w:rsidRPr="00000000" w14:paraId="0000009C">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REALIZA: Álvaro Javier Burgos Cárdenas, Medicina interna </w:t>
      </w:r>
      <w:r w:rsidDel="00000000" w:rsidR="00000000" w:rsidRPr="00000000">
        <w:rPr>
          <w:rtl w:val="0"/>
        </w:rPr>
      </w:r>
    </w:p>
    <w:p w:rsidR="00000000" w:rsidDel="00000000" w:rsidP="00000000" w:rsidRDefault="00000000" w:rsidRPr="00000000" w14:paraId="0000009D">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REVISA: Comité de Calidad y Gestión Clínica / Líder del Programa de Telesalud</w:t>
      </w: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4"/>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A0">
          <w:pPr>
            <w:jc w:val="center"/>
            <w:rPr>
              <w:sz w:val="28"/>
              <w:szCs w:val="28"/>
            </w:rPr>
          </w:pPr>
          <w:r w:rsidDel="00000000" w:rsidR="00000000" w:rsidRPr="00000000">
            <w:rPr>
              <w:rFonts w:ascii="Arial" w:cs="Arial" w:eastAsia="Arial" w:hAnsi="Arial"/>
              <w:b w:val="1"/>
              <w:bCs w:val="1"/>
              <w:sz w:val="28"/>
              <w:szCs w:val="28"/>
              <w:rtl w:val="0"/>
            </w:rPr>
            <w:t xml:space="preserve">PROTOCOLO DE TELE-EXPERTICIA EN EL MANEJO DE LA FALLA CARDÍACA AGUDA EN URGENCIAS</w:t>
          </w:r>
          <w:r w:rsidDel="00000000" w:rsidR="00000000" w:rsidRPr="00000000">
            <w:rPr>
              <w:rtl w:val="0"/>
            </w:rPr>
          </w:r>
        </w:p>
      </w:tc>
    </w:tr>
    <w:tr>
      <w:trPr>
        <w:cantSplit w:val="0"/>
        <w:trHeight w:val="278" w:hRule="atLeast"/>
        <w:tblHeader w:val="0"/>
      </w:trPr>
      <w:tc>
        <w:tcPr>
          <w:vMerge w:val="continue"/>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U9ftDdXb1r2fSYIoz94HmX7kpg==">CgMxLjAaJAoBMBIfCh0IB0IZCgVBcmlhbBIQQXJpYWwgVW5pY29kZSBNUxokCgExEh8KHQgHQhkKBUFyaWFsEhBBcmlhbCBVbmljb2RlIE1TGiQKATISHwodCAdCGQoFQXJpYWwSEEFyaWFsIFVuaWNvZGUgTVMaJAoBMxIfCh0IB0IZCgVBcmlhbBIQQXJpYWwgVW5pY29kZSBNUzgAciExMmpiT2NKRXFibXdZM0NkZWpQLXdQWXNVZS1kVHVLVDQ=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