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49AD8" w14:textId="77777777" w:rsidR="003724DF" w:rsidRPr="00825C18" w:rsidRDefault="003724DF" w:rsidP="003724DF">
      <w:pPr>
        <w:pStyle w:val="Title"/>
      </w:pPr>
      <w:r w:rsidRPr="00825C18">
        <w:t>How to Achieve Blockchain Regulatory Compliance in 2025</w:t>
      </w:r>
    </w:p>
    <w:p w14:paraId="5485414F" w14:textId="77777777" w:rsidR="003724DF" w:rsidRPr="009B6C6C" w:rsidRDefault="003724DF" w:rsidP="003724DF">
      <w:pPr>
        <w:pStyle w:val="Heading1"/>
      </w:pPr>
      <w:r w:rsidRPr="009B6C6C">
        <w:t>Introduction</w:t>
      </w:r>
    </w:p>
    <w:p w14:paraId="172762D2" w14:textId="77777777" w:rsidR="003724DF" w:rsidRDefault="003724DF" w:rsidP="003724DF">
      <w:r w:rsidRPr="00241708">
        <w:t xml:space="preserve">Blockchain technology has found application across several industries in the past decade, proving </w:t>
      </w:r>
      <w:r>
        <w:t xml:space="preserve">both </w:t>
      </w:r>
      <w:r w:rsidRPr="00241708">
        <w:t>its transformative and disruptive</w:t>
      </w:r>
      <w:r w:rsidRPr="009D05B4">
        <w:t xml:space="preserve"> </w:t>
      </w:r>
      <w:r w:rsidRPr="00241708">
        <w:t>potential.</w:t>
      </w:r>
      <w:r>
        <w:t xml:space="preserve"> Today, b</w:t>
      </w:r>
      <w:r w:rsidRPr="00241708">
        <w:t xml:space="preserve">lockchain's decentralized ledgers have become indispensable tools, bringing disintermediation in </w:t>
      </w:r>
      <w:r>
        <w:t xml:space="preserve">the finance, </w:t>
      </w:r>
      <w:r w:rsidRPr="00241708">
        <w:t>supply chain</w:t>
      </w:r>
      <w:r>
        <w:t>,</w:t>
      </w:r>
      <w:r w:rsidRPr="00241708">
        <w:t xml:space="preserve"> health</w:t>
      </w:r>
      <w:r>
        <w:t xml:space="preserve">, and other </w:t>
      </w:r>
      <w:r w:rsidRPr="00241708">
        <w:t>dom</w:t>
      </w:r>
      <w:r w:rsidRPr="00595E77">
        <w:t>ains.</w:t>
      </w:r>
    </w:p>
    <w:p w14:paraId="5D06D413" w14:textId="77777777" w:rsidR="003724DF" w:rsidRDefault="003724DF" w:rsidP="003724DF">
      <w:r w:rsidRPr="00595E77">
        <w:t xml:space="preserve">This </w:t>
      </w:r>
      <w:r>
        <w:t>unfolding</w:t>
      </w:r>
      <w:r w:rsidRPr="00595E77">
        <w:t xml:space="preserve"> adoption of blockchain </w:t>
      </w:r>
      <w:r w:rsidRPr="00241708">
        <w:t>has prompted regulatory intervention</w:t>
      </w:r>
      <w:r>
        <w:t xml:space="preserve"> around the world. G</w:t>
      </w:r>
      <w:r w:rsidRPr="00241708">
        <w:t xml:space="preserve">overnments </w:t>
      </w:r>
      <w:r>
        <w:t xml:space="preserve">in different countries </w:t>
      </w:r>
      <w:r w:rsidRPr="00595E77">
        <w:t>have</w:t>
      </w:r>
      <w:r>
        <w:t xml:space="preserve"> in recent years</w:t>
      </w:r>
      <w:r w:rsidRPr="00595E77">
        <w:t xml:space="preserve"> </w:t>
      </w:r>
      <w:r>
        <w:t>increasingly explored</w:t>
      </w:r>
      <w:r w:rsidRPr="00595E77">
        <w:t xml:space="preserve"> ways to supervise activities, operations, and products</w:t>
      </w:r>
      <w:r>
        <w:t>,</w:t>
      </w:r>
      <w:r w:rsidRPr="00595E77">
        <w:t xml:space="preserve"> leveraging blockchain technology.</w:t>
      </w:r>
    </w:p>
    <w:p w14:paraId="6A02C92C" w14:textId="77777777" w:rsidR="003724DF" w:rsidRDefault="003724DF" w:rsidP="003724DF">
      <w:r w:rsidRPr="00595E77">
        <w:t xml:space="preserve">Markedly, 2024 has been </w:t>
      </w:r>
      <w:hyperlink r:id="rId5" w:history="1">
        <w:r>
          <w:rPr>
            <w:rStyle w:val="Hyperlink"/>
          </w:rPr>
          <w:t>a historic election year,</w:t>
        </w:r>
      </w:hyperlink>
      <w:r w:rsidRPr="00595E77">
        <w:t xml:space="preserve"> with over 70 countries </w:t>
      </w:r>
      <w:r>
        <w:t>holding</w:t>
      </w:r>
      <w:r w:rsidRPr="00595E77">
        <w:t xml:space="preserve"> national elections as of December.</w:t>
      </w:r>
      <w:r>
        <w:t xml:space="preserve"> T</w:t>
      </w:r>
      <w:r w:rsidRPr="00BC2286">
        <w:t>he impact of these elections</w:t>
      </w:r>
      <w:r>
        <w:t>’ outcomes</w:t>
      </w:r>
      <w:r w:rsidRPr="00BC2286">
        <w:t xml:space="preserve"> </w:t>
      </w:r>
      <w:r>
        <w:t>on shaping policies and regulations for emerging technologies like blockchain can’t be overstated.</w:t>
      </w:r>
      <w:r w:rsidRPr="00E27BAD">
        <w:t xml:space="preserve"> </w:t>
      </w:r>
      <w:r>
        <w:t xml:space="preserve">Looking ahead, 2025 is especially poised to be a defining year for blockchain from a regulatory perspective, with </w:t>
      </w:r>
      <w:r w:rsidRPr="00F84FC4">
        <w:t>strong expectation</w:t>
      </w:r>
      <w:r>
        <w:t>s</w:t>
      </w:r>
      <w:r w:rsidRPr="00F84FC4">
        <w:t xml:space="preserve"> that </w:t>
      </w:r>
      <w:r>
        <w:t>compliance</w:t>
      </w:r>
      <w:r w:rsidRPr="00F84FC4">
        <w:t xml:space="preserve"> momentum will </w:t>
      </w:r>
      <w:r>
        <w:t xml:space="preserve">grow. </w:t>
      </w:r>
    </w:p>
    <w:p w14:paraId="07EC88E3" w14:textId="77777777" w:rsidR="003724DF" w:rsidRDefault="003724DF" w:rsidP="003724DF">
      <w:r>
        <w:t xml:space="preserve">The regulatory </w:t>
      </w:r>
      <w:r w:rsidRPr="00EA0311">
        <w:t xml:space="preserve">spotlight </w:t>
      </w:r>
      <w:r>
        <w:t>is</w:t>
      </w:r>
      <w:r w:rsidRPr="00EA0311">
        <w:t xml:space="preserve"> </w:t>
      </w:r>
      <w:r>
        <w:t>mainly</w:t>
      </w:r>
      <w:r w:rsidRPr="00EA0311">
        <w:t xml:space="preserve"> on the Markets in Crypto-Assets (MiCA) Regulation</w:t>
      </w:r>
      <w:r>
        <w:t>, whose pending provisions will come into effect on 30</w:t>
      </w:r>
      <w:r w:rsidRPr="00E2755B">
        <w:rPr>
          <w:vertAlign w:val="superscript"/>
        </w:rPr>
        <w:t>th</w:t>
      </w:r>
      <w:r>
        <w:t xml:space="preserve"> December. Besides </w:t>
      </w:r>
      <w:r w:rsidRPr="00252258">
        <w:t xml:space="preserve">MiCA, other regulatory frameworks with upcoming </w:t>
      </w:r>
      <w:r>
        <w:t>application</w:t>
      </w:r>
      <w:r w:rsidRPr="00252258">
        <w:t xml:space="preserve"> dates are the Digital Operational Resilience Ac</w:t>
      </w:r>
      <w:r>
        <w:t xml:space="preserve">t and the EU’s revised </w:t>
      </w:r>
      <w:r w:rsidRPr="00252258">
        <w:t>Transfer of Funds Regulation.</w:t>
      </w:r>
      <w:r>
        <w:t xml:space="preserve"> </w:t>
      </w:r>
    </w:p>
    <w:p w14:paraId="184C0F29" w14:textId="77777777" w:rsidR="003724DF" w:rsidRPr="00FC4C09" w:rsidRDefault="003724DF" w:rsidP="003724DF">
      <w:r>
        <w:t>In t</w:t>
      </w:r>
      <w:r w:rsidRPr="00AD2663">
        <w:t>his blo</w:t>
      </w:r>
      <w:r>
        <w:t>g, we</w:t>
      </w:r>
      <w:r w:rsidRPr="00AD2663">
        <w:t xml:space="preserve"> </w:t>
      </w:r>
      <w:r>
        <w:t>discuss the importance of blockchain regulatory compliance, existing key f</w:t>
      </w:r>
      <w:r w:rsidRPr="00AD2663">
        <w:t>rameworks</w:t>
      </w:r>
      <w:r>
        <w:t>, challenges to</w:t>
      </w:r>
      <w:r w:rsidRPr="00AD2663">
        <w:t xml:space="preserve"> compliance</w:t>
      </w:r>
      <w:r>
        <w:t>, best practices for achieving</w:t>
      </w:r>
      <w:r w:rsidRPr="00AD2663">
        <w:t xml:space="preserve"> compliance</w:t>
      </w:r>
      <w:r w:rsidRPr="00A61A32">
        <w:t xml:space="preserve"> </w:t>
      </w:r>
      <w:r>
        <w:t>and future expectations</w:t>
      </w:r>
      <w:r w:rsidRPr="00AD2663">
        <w:t>.</w:t>
      </w:r>
    </w:p>
    <w:p w14:paraId="38EE4F31" w14:textId="77777777" w:rsidR="003724DF" w:rsidRPr="00AD2663" w:rsidRDefault="003724DF" w:rsidP="003724DF">
      <w:pPr>
        <w:pStyle w:val="Heading1"/>
      </w:pPr>
      <w:r w:rsidRPr="00AD2663">
        <w:t>Overview of Blockchain Regulatory Compliance</w:t>
      </w:r>
    </w:p>
    <w:p w14:paraId="2960E697" w14:textId="77777777" w:rsidR="003724DF" w:rsidRPr="007863FE" w:rsidRDefault="003724DF" w:rsidP="003724DF">
      <w:pPr>
        <w:pStyle w:val="Heading2"/>
      </w:pPr>
      <w:r w:rsidRPr="007863FE">
        <w:t>What is Blockchain Regulatory Compliance?</w:t>
      </w:r>
    </w:p>
    <w:p w14:paraId="057AF5E4" w14:textId="77777777" w:rsidR="003724DF" w:rsidRDefault="003724DF" w:rsidP="003724DF">
      <w:r>
        <w:t>In a broad sense, compliance refers to adherence to directives, rules, or standards</w:t>
      </w:r>
      <w:r w:rsidRPr="00AD2663">
        <w:t xml:space="preserve"> established to guide processes</w:t>
      </w:r>
      <w:r>
        <w:t xml:space="preserve"> </w:t>
      </w:r>
      <w:r w:rsidRPr="00AD2663">
        <w:t xml:space="preserve">or systems. </w:t>
      </w:r>
      <w:r>
        <w:t>Blockchain regulatory</w:t>
      </w:r>
      <w:r w:rsidRPr="00AD2663">
        <w:t xml:space="preserve"> compliance </w:t>
      </w:r>
      <w:r>
        <w:t>pertains</w:t>
      </w:r>
      <w:r w:rsidRPr="00AD2663">
        <w:t xml:space="preserve"> </w:t>
      </w:r>
      <w:r>
        <w:t>to meeting</w:t>
      </w:r>
      <w:r w:rsidRPr="00AD2663">
        <w:t xml:space="preserve"> </w:t>
      </w:r>
      <w:r>
        <w:t>the</w:t>
      </w:r>
      <w:r w:rsidRPr="00AD2663">
        <w:t xml:space="preserve"> requirements </w:t>
      </w:r>
      <w:r>
        <w:t>set out by</w:t>
      </w:r>
      <w:r w:rsidRPr="00AD2663">
        <w:t xml:space="preserve"> </w:t>
      </w:r>
      <w:r>
        <w:t xml:space="preserve">relevant </w:t>
      </w:r>
      <w:r w:rsidRPr="00AD2663">
        <w:t>authorities.</w:t>
      </w:r>
      <w:r>
        <w:t xml:space="preserve"> </w:t>
      </w:r>
    </w:p>
    <w:p w14:paraId="5937E6CC" w14:textId="77777777" w:rsidR="003724DF" w:rsidRPr="00AD2663" w:rsidRDefault="003724DF" w:rsidP="003724DF">
      <w:r w:rsidRPr="00AD2663">
        <w:t>The notable areas of compliance are:</w:t>
      </w:r>
    </w:p>
    <w:p w14:paraId="509DF813" w14:textId="77777777" w:rsidR="003724DF" w:rsidRPr="006276F5" w:rsidRDefault="003724DF" w:rsidP="003724DF">
      <w:r w:rsidRPr="006276F5">
        <w:t>·         AML controls</w:t>
      </w:r>
    </w:p>
    <w:p w14:paraId="5742D42E" w14:textId="77777777" w:rsidR="003724DF" w:rsidRPr="00AD2663" w:rsidRDefault="003724DF" w:rsidP="003724DF">
      <w:r>
        <w:t>Various authorities worldwide have laid down a</w:t>
      </w:r>
      <w:r w:rsidRPr="00AD2663">
        <w:t>nti-money laundering</w:t>
      </w:r>
      <w:r>
        <w:t xml:space="preserve"> (AML)</w:t>
      </w:r>
      <w:r w:rsidRPr="00AD2663">
        <w:t xml:space="preserve"> and terrorist financing</w:t>
      </w:r>
      <w:r>
        <w:t xml:space="preserve"> rules to </w:t>
      </w:r>
      <w:r w:rsidRPr="00AD2663">
        <w:t xml:space="preserve">thwart the misuse of blockchain-based systems or assets </w:t>
      </w:r>
      <w:r>
        <w:t>to</w:t>
      </w:r>
      <w:r w:rsidRPr="00AD2663">
        <w:t xml:space="preserve"> facilitat</w:t>
      </w:r>
      <w:r>
        <w:t xml:space="preserve">e </w:t>
      </w:r>
      <w:r w:rsidRPr="00AD2663">
        <w:t>illicit financial transactions.</w:t>
      </w:r>
    </w:p>
    <w:p w14:paraId="39D2DC67" w14:textId="77777777" w:rsidR="003724DF" w:rsidRPr="006276F5" w:rsidRDefault="003724DF" w:rsidP="003724DF">
      <w:r w:rsidRPr="006276F5">
        <w:t>·         KYC standards</w:t>
      </w:r>
    </w:p>
    <w:p w14:paraId="695E2046" w14:textId="77777777" w:rsidR="003724DF" w:rsidRPr="00AD2663" w:rsidRDefault="003724DF" w:rsidP="003724DF">
      <w:r w:rsidRPr="00AD2663">
        <w:t xml:space="preserve">Know-your-customer (KYC) guidelines require </w:t>
      </w:r>
      <w:r>
        <w:t>platform operators and service providers to incorporate identity verification checks into</w:t>
      </w:r>
      <w:r w:rsidRPr="00AD2663">
        <w:t xml:space="preserve"> their </w:t>
      </w:r>
      <w:r>
        <w:t xml:space="preserve">user </w:t>
      </w:r>
      <w:r w:rsidRPr="00AD2663">
        <w:t>onboarding process</w:t>
      </w:r>
      <w:r>
        <w:t>es.</w:t>
      </w:r>
    </w:p>
    <w:p w14:paraId="5B091ADC" w14:textId="77777777" w:rsidR="003724DF" w:rsidRPr="006276F5" w:rsidRDefault="003724DF" w:rsidP="003724DF">
      <w:r w:rsidRPr="006276F5">
        <w:t>·         Data privacy rules</w:t>
      </w:r>
    </w:p>
    <w:p w14:paraId="07584650" w14:textId="77777777" w:rsidR="003724DF" w:rsidRPr="00AD2663" w:rsidRDefault="003724DF" w:rsidP="003724DF">
      <w:r>
        <w:t>Blockchain-involved companies</w:t>
      </w:r>
      <w:r w:rsidRPr="00AD2663">
        <w:t xml:space="preserve"> </w:t>
      </w:r>
      <w:r>
        <w:t>that process user data can be subject to global, regional, or domestic guidelines governing data collection, storage, and transfer, depending on where they operate. The General Data Protection Regulation (GDPR), for instance,</w:t>
      </w:r>
      <w:r w:rsidRPr="0071414B">
        <w:t xml:space="preserve"> applies to </w:t>
      </w:r>
      <w:r>
        <w:t xml:space="preserve">virtual asset service providers in </w:t>
      </w:r>
      <w:r w:rsidRPr="0071414B">
        <w:t>the European Union and the European Economic Area.</w:t>
      </w:r>
    </w:p>
    <w:p w14:paraId="608E1D1D" w14:textId="77777777" w:rsidR="003724DF" w:rsidRPr="00AD2663" w:rsidRDefault="003724DF" w:rsidP="003724DF">
      <w:pPr>
        <w:rPr>
          <w:color w:val="7030A0"/>
        </w:rPr>
      </w:pPr>
      <w:r w:rsidRPr="006276F5">
        <w:t>·         Securities law</w:t>
      </w:r>
    </w:p>
    <w:p w14:paraId="46FFC843" w14:textId="77777777" w:rsidR="003724DF" w:rsidRPr="00AD2663" w:rsidRDefault="003724DF" w:rsidP="003724DF">
      <w:r w:rsidRPr="00AD2663">
        <w:t>In some jurisdictions, blockchain-based</w:t>
      </w:r>
      <w:r>
        <w:t xml:space="preserve"> assets</w:t>
      </w:r>
      <w:r w:rsidRPr="00AD2663">
        <w:t xml:space="preserve"> may be</w:t>
      </w:r>
      <w:r>
        <w:t xml:space="preserve"> legally</w:t>
      </w:r>
      <w:r w:rsidRPr="00AD2663">
        <w:t xml:space="preserve"> recognized </w:t>
      </w:r>
      <w:r>
        <w:t>or</w:t>
      </w:r>
      <w:r w:rsidRPr="00AD2663">
        <w:t xml:space="preserve"> classified </w:t>
      </w:r>
      <w:r>
        <w:t>under</w:t>
      </w:r>
      <w:r w:rsidRPr="00AD2663">
        <w:t xml:space="preserve"> scope</w:t>
      </w:r>
      <w:r>
        <w:t>s where</w:t>
      </w:r>
      <w:r w:rsidRPr="00AD2663">
        <w:t xml:space="preserve"> financial market rules</w:t>
      </w:r>
      <w:r>
        <w:t xml:space="preserve"> apply</w:t>
      </w:r>
      <w:r w:rsidRPr="00AD2663">
        <w:t>.</w:t>
      </w:r>
    </w:p>
    <w:p w14:paraId="5DB28D4D" w14:textId="77777777" w:rsidR="003724DF" w:rsidRPr="00AD2663" w:rsidRDefault="003724DF" w:rsidP="003724DF">
      <w:pPr>
        <w:pStyle w:val="Heading2"/>
      </w:pPr>
      <w:r w:rsidRPr="00AD2663">
        <w:t xml:space="preserve">The </w:t>
      </w:r>
      <w:r>
        <w:t>R</w:t>
      </w:r>
      <w:r w:rsidRPr="00AD2663">
        <w:t xml:space="preserve">ole of </w:t>
      </w:r>
      <w:r>
        <w:t>C</w:t>
      </w:r>
      <w:r w:rsidRPr="00AD2663">
        <w:t>ompliance in Blockchain Projects</w:t>
      </w:r>
    </w:p>
    <w:p w14:paraId="25E3B072" w14:textId="77777777" w:rsidR="003724DF" w:rsidRDefault="003724DF" w:rsidP="003724DF">
      <w:r w:rsidRPr="00AD2663">
        <w:t xml:space="preserve">Compliance </w:t>
      </w:r>
      <w:r w:rsidRPr="00554050">
        <w:t xml:space="preserve">is key to building </w:t>
      </w:r>
      <w:r>
        <w:t xml:space="preserve">and maintaining </w:t>
      </w:r>
      <w:r w:rsidRPr="00554050">
        <w:t xml:space="preserve">trust between stakeholders in any industry. This </w:t>
      </w:r>
      <w:r>
        <w:t>couldn’t be truer for the nascent Web3 space</w:t>
      </w:r>
      <w:r w:rsidRPr="00554050">
        <w:t>.</w:t>
      </w:r>
      <w:r>
        <w:t xml:space="preserve"> Regulatory </w:t>
      </w:r>
      <w:r w:rsidRPr="00554050">
        <w:t xml:space="preserve">compliance </w:t>
      </w:r>
      <w:r>
        <w:t xml:space="preserve">proves the </w:t>
      </w:r>
      <w:r w:rsidRPr="00554050">
        <w:t xml:space="preserve">credibility </w:t>
      </w:r>
      <w:r w:rsidRPr="00F40D82">
        <w:t xml:space="preserve">of blockchain projects and demonstrates the development teams’ commitment to responsible innovation. </w:t>
      </w:r>
    </w:p>
    <w:p w14:paraId="2AF4C75A" w14:textId="77777777" w:rsidR="003724DF" w:rsidRDefault="003724DF" w:rsidP="003724DF">
      <w:r w:rsidRPr="00F40D82">
        <w:t xml:space="preserve">Not least, compliance prevents </w:t>
      </w:r>
      <w:r w:rsidRPr="00732966">
        <w:t>reputational harm</w:t>
      </w:r>
      <w:r>
        <w:t xml:space="preserve"> or</w:t>
      </w:r>
      <w:r w:rsidRPr="00F40D82">
        <w:t xml:space="preserve"> legal issues such as enforcement inquiries and potential penalties arising from violations</w:t>
      </w:r>
      <w:r>
        <w:t xml:space="preserve"> </w:t>
      </w:r>
      <w:r w:rsidRPr="006276F5">
        <w:t xml:space="preserve">In June 2023, the US </w:t>
      </w:r>
      <w:r>
        <w:t>Securities and Exchange Commission</w:t>
      </w:r>
      <w:r w:rsidRPr="006276F5">
        <w:t xml:space="preserve"> </w:t>
      </w:r>
      <w:r>
        <w:t>filed separate charges</w:t>
      </w:r>
      <w:r w:rsidRPr="006276F5">
        <w:t xml:space="preserve"> </w:t>
      </w:r>
      <w:r>
        <w:t xml:space="preserve">against </w:t>
      </w:r>
      <w:hyperlink r:id="rId6" w:history="1">
        <w:r w:rsidRPr="00981EE7">
          <w:rPr>
            <w:rStyle w:val="Hyperlink"/>
          </w:rPr>
          <w:t>Binance</w:t>
        </w:r>
      </w:hyperlink>
      <w:r w:rsidRPr="006276F5">
        <w:t xml:space="preserve"> </w:t>
      </w:r>
      <w:r>
        <w:t xml:space="preserve">and </w:t>
      </w:r>
      <w:hyperlink r:id="rId7" w:history="1">
        <w:r w:rsidRPr="00981EE7">
          <w:rPr>
            <w:rStyle w:val="Hyperlink"/>
          </w:rPr>
          <w:t>Coinbase</w:t>
        </w:r>
      </w:hyperlink>
      <w:r>
        <w:t xml:space="preserve"> alleging compliance failures and contraventions. In November 2023, the US regulator also took action against </w:t>
      </w:r>
      <w:hyperlink r:id="rId8" w:history="1">
        <w:r w:rsidRPr="00992FC0">
          <w:rPr>
            <w:rStyle w:val="Hyperlink"/>
          </w:rPr>
          <w:t>Kraken</w:t>
        </w:r>
      </w:hyperlink>
      <w:r>
        <w:t xml:space="preserve"> on similar charges of </w:t>
      </w:r>
      <w:r w:rsidRPr="00992FC0">
        <w:t>operating without registration</w:t>
      </w:r>
      <w:r>
        <w:t xml:space="preserve">. The SEC </w:t>
      </w:r>
      <w:r w:rsidRPr="00992FC0">
        <w:t>fault</w:t>
      </w:r>
      <w:r>
        <w:t>ed</w:t>
      </w:r>
      <w:r w:rsidRPr="00992FC0">
        <w:t xml:space="preserve"> the exchange’s internal controls and recordkeeping practices.</w:t>
      </w:r>
    </w:p>
    <w:p w14:paraId="0B909B8B" w14:textId="77777777" w:rsidR="003724DF" w:rsidRDefault="003724DF" w:rsidP="003724DF">
      <w:pPr>
        <w:rPr>
          <w:color w:val="002060"/>
        </w:rPr>
      </w:pPr>
      <w:r w:rsidRPr="001E4107">
        <w:t>This year, the US Department of</w:t>
      </w:r>
      <w:r>
        <w:rPr>
          <w:color w:val="002060"/>
        </w:rPr>
        <w:t xml:space="preserve"> Justice </w:t>
      </w:r>
      <w:hyperlink r:id="rId9" w:history="1">
        <w:r w:rsidRPr="008238AC">
          <w:rPr>
            <w:rStyle w:val="Hyperlink"/>
          </w:rPr>
          <w:t>charged</w:t>
        </w:r>
      </w:hyperlink>
      <w:r w:rsidRPr="006276F5">
        <w:rPr>
          <w:color w:val="002060"/>
        </w:rPr>
        <w:t xml:space="preserve"> </w:t>
      </w:r>
      <w:r w:rsidRPr="001E4107">
        <w:t>Seychelles-based KuCoin in March for failing to adhere to AML laws. Most recently in November, European</w:t>
      </w:r>
      <w:r w:rsidRPr="004C33E7">
        <w:t xml:space="preserve"> regulators censured Wise over </w:t>
      </w:r>
      <w:r>
        <w:lastRenderedPageBreak/>
        <w:t>shortcomings</w:t>
      </w:r>
      <w:r w:rsidRPr="004C33E7">
        <w:t xml:space="preserve"> in its AML controls </w:t>
      </w:r>
      <w:r>
        <w:t>after</w:t>
      </w:r>
      <w:r w:rsidRPr="004C33E7">
        <w:t xml:space="preserve"> a </w:t>
      </w:r>
      <w:r>
        <w:t xml:space="preserve">2022 </w:t>
      </w:r>
      <w:r w:rsidRPr="004C33E7">
        <w:t>review by the National Bank of Belgium found that the company lacked proof of addresses for some of its customers. Wise</w:t>
      </w:r>
      <w:r>
        <w:rPr>
          <w:color w:val="002060"/>
        </w:rPr>
        <w:t xml:space="preserve"> previously </w:t>
      </w:r>
      <w:hyperlink r:id="rId10" w:history="1">
        <w:r w:rsidRPr="00BA610C">
          <w:rPr>
            <w:rStyle w:val="Hyperlink"/>
          </w:rPr>
          <w:t>incurred</w:t>
        </w:r>
      </w:hyperlink>
      <w:r>
        <w:rPr>
          <w:color w:val="002060"/>
        </w:rPr>
        <w:t xml:space="preserve"> a penalty from t</w:t>
      </w:r>
      <w:r w:rsidRPr="00E46E3A">
        <w:rPr>
          <w:color w:val="002060"/>
        </w:rPr>
        <w:t>he </w:t>
      </w:r>
      <w:r w:rsidRPr="002A31F9">
        <w:t>Abu Dhabi Global Market</w:t>
      </w:r>
      <w:r w:rsidRPr="00E46E3A">
        <w:rPr>
          <w:color w:val="002060"/>
        </w:rPr>
        <w:t xml:space="preserve">’s Financial Services Regulatory Authority </w:t>
      </w:r>
      <w:r>
        <w:rPr>
          <w:color w:val="002060"/>
        </w:rPr>
        <w:t xml:space="preserve">in August 2022 for non-compliance with </w:t>
      </w:r>
      <w:r w:rsidRPr="00E46E3A">
        <w:rPr>
          <w:color w:val="002060"/>
        </w:rPr>
        <w:t xml:space="preserve">AML </w:t>
      </w:r>
      <w:r>
        <w:rPr>
          <w:color w:val="002060"/>
        </w:rPr>
        <w:t>requirements</w:t>
      </w:r>
      <w:r w:rsidRPr="00E46E3A">
        <w:rPr>
          <w:color w:val="002060"/>
        </w:rPr>
        <w:t>.</w:t>
      </w:r>
    </w:p>
    <w:p w14:paraId="45ABE0CA" w14:textId="77777777" w:rsidR="003724DF" w:rsidRPr="00C201DE" w:rsidRDefault="003724DF" w:rsidP="003724DF">
      <w:r>
        <w:t>In December, t</w:t>
      </w:r>
      <w:r w:rsidRPr="003200AB">
        <w:t>he Fe</w:t>
      </w:r>
      <w:r w:rsidRPr="00F835FD">
        <w:t xml:space="preserve">deral Court of Australia fined </w:t>
      </w:r>
      <w:r w:rsidRPr="003200AB">
        <w:t>Bit Trade, the local operator of the Kraken exchange</w:t>
      </w:r>
      <w:r>
        <w:t xml:space="preserve"> in Australia</w:t>
      </w:r>
      <w:r w:rsidRPr="003200AB">
        <w:t xml:space="preserve">, </w:t>
      </w:r>
      <w:r>
        <w:t>A</w:t>
      </w:r>
      <w:r w:rsidRPr="00F835FD">
        <w:t>$</w:t>
      </w:r>
      <w:r>
        <w:t>8</w:t>
      </w:r>
      <w:r w:rsidRPr="00F835FD">
        <w:t xml:space="preserve"> million for compliance failure</w:t>
      </w:r>
      <w:r>
        <w:t xml:space="preserve"> in a civil proceeding brought forward by the</w:t>
      </w:r>
      <w:r w:rsidRPr="003C567D">
        <w:t xml:space="preserve"> </w:t>
      </w:r>
      <w:r w:rsidRPr="003200AB">
        <w:t>Australian Securities and Investments Commission</w:t>
      </w:r>
      <w:r>
        <w:t xml:space="preserve">. </w:t>
      </w:r>
      <w:r w:rsidRPr="003200AB">
        <w:t xml:space="preserve">Kraken </w:t>
      </w:r>
      <w:r>
        <w:t xml:space="preserve">faulted the </w:t>
      </w:r>
      <w:r w:rsidRPr="003200AB">
        <w:t>lack of clarity in Australia’s crypto regulation</w:t>
      </w:r>
      <w:r>
        <w:t xml:space="preserve">s following an </w:t>
      </w:r>
      <w:r w:rsidRPr="003200AB">
        <w:t>initial court ruling in August</w:t>
      </w:r>
      <w:r>
        <w:t>.</w:t>
      </w:r>
    </w:p>
    <w:p w14:paraId="6DDB6F2F" w14:textId="77777777" w:rsidR="003724DF" w:rsidRPr="00AD2663" w:rsidRDefault="003724DF" w:rsidP="003724DF">
      <w:pPr>
        <w:pStyle w:val="Heading1"/>
      </w:pPr>
      <w:r w:rsidRPr="00AD2663">
        <w:t>Key Blockchain Regulatory Frameworks in 2025</w:t>
      </w:r>
    </w:p>
    <w:p w14:paraId="16455B0F" w14:textId="77777777" w:rsidR="003724DF" w:rsidRPr="00AD2663" w:rsidRDefault="003724DF" w:rsidP="003724DF">
      <w:pPr>
        <w:pStyle w:val="Heading2"/>
      </w:pPr>
      <w:r w:rsidRPr="00AD2663">
        <w:t>Global Regulatory Bodies &amp; Their Frameworks</w:t>
      </w:r>
    </w:p>
    <w:p w14:paraId="7DC30106" w14:textId="77777777" w:rsidR="003724DF" w:rsidRPr="00AD2663" w:rsidRDefault="003724DF" w:rsidP="003724DF">
      <w:pPr>
        <w:pStyle w:val="Heading3"/>
      </w:pPr>
      <w:r>
        <w:t>FATF</w:t>
      </w:r>
      <w:r w:rsidRPr="00AD2663">
        <w:t xml:space="preserve"> guidelines for AML and on-chain monitoring</w:t>
      </w:r>
    </w:p>
    <w:p w14:paraId="3D0B3452" w14:textId="77777777" w:rsidR="003724DF" w:rsidRPr="00AD2663" w:rsidRDefault="003724DF" w:rsidP="003724DF">
      <w:r w:rsidRPr="00AD2663">
        <w:t xml:space="preserve">The Financial Action Task Force is the international authority on money laundering and terrorist financing. </w:t>
      </w:r>
      <w:r>
        <w:t xml:space="preserve">As </w:t>
      </w:r>
      <w:r w:rsidRPr="00356303">
        <w:t>the global AML standard-setter</w:t>
      </w:r>
      <w:r>
        <w:t>, t</w:t>
      </w:r>
      <w:r w:rsidRPr="00AD2663">
        <w:t xml:space="preserve">he </w:t>
      </w:r>
      <w:r>
        <w:t>FATF</w:t>
      </w:r>
      <w:r w:rsidRPr="00AD2663">
        <w:t xml:space="preserve"> </w:t>
      </w:r>
      <w:r>
        <w:t>has provided</w:t>
      </w:r>
      <w:r w:rsidRPr="00AD2663">
        <w:t xml:space="preserve"> non-legal guidance </w:t>
      </w:r>
      <w:r>
        <w:t xml:space="preserve">in </w:t>
      </w:r>
      <w:r w:rsidRPr="00AD2663">
        <w:t>the form of 4</w:t>
      </w:r>
      <w:r>
        <w:t>9</w:t>
      </w:r>
      <w:r w:rsidRPr="00AD2663">
        <w:t xml:space="preserve"> recommendations </w:t>
      </w:r>
      <w:r>
        <w:t xml:space="preserve">to be followed by countries in designing regulatory frameworks. These recommendations include preventive measures such as customer due diligence, record-keeping of customer information, </w:t>
      </w:r>
      <w:r w:rsidRPr="00AD2663">
        <w:t>and AML/CFT controls.</w:t>
      </w:r>
    </w:p>
    <w:p w14:paraId="71E3126A" w14:textId="77777777" w:rsidR="003724DF" w:rsidRPr="00AD2663" w:rsidRDefault="003724DF" w:rsidP="003724DF">
      <w:pPr>
        <w:rPr>
          <w:color w:val="FF0000"/>
        </w:rPr>
      </w:pPr>
      <w:r w:rsidRPr="00356303">
        <w:t xml:space="preserve">The FATF recognizes </w:t>
      </w:r>
      <w:r>
        <w:t xml:space="preserve">that </w:t>
      </w:r>
      <w:r w:rsidRPr="00356303">
        <w:t>legal and financial system</w:t>
      </w:r>
      <w:r>
        <w:t xml:space="preserve">s </w:t>
      </w:r>
      <w:r w:rsidRPr="00356303">
        <w:t xml:space="preserve">differ </w:t>
      </w:r>
      <w:r>
        <w:t>on a country basis. As</w:t>
      </w:r>
      <w:r w:rsidRPr="00356303">
        <w:t xml:space="preserve"> such, </w:t>
      </w:r>
      <w:r>
        <w:t xml:space="preserve">it </w:t>
      </w:r>
      <w:r w:rsidRPr="00356303">
        <w:t xml:space="preserve">doesn’t demand </w:t>
      </w:r>
      <w:r>
        <w:t xml:space="preserve">the </w:t>
      </w:r>
      <w:r w:rsidRPr="00356303">
        <w:t xml:space="preserve">implementation of its </w:t>
      </w:r>
      <w:r>
        <w:t>recommendations</w:t>
      </w:r>
      <w:r w:rsidRPr="00356303">
        <w:t xml:space="preserve"> in a strict one-size-fits-all manner. Instead, </w:t>
      </w:r>
      <w:r>
        <w:t xml:space="preserve">it has </w:t>
      </w:r>
      <w:r w:rsidRPr="00356303">
        <w:t>specifie</w:t>
      </w:r>
      <w:r>
        <w:t>d</w:t>
      </w:r>
      <w:r w:rsidRPr="00356303">
        <w:t xml:space="preserve"> minimum standards to be upheld, with a focus on meeting the underlying objectives. The FATF</w:t>
      </w:r>
      <w:r>
        <w:t>’s Recommendation 16 which encompasses the</w:t>
      </w:r>
      <w:r w:rsidRPr="00356303">
        <w:t xml:space="preserve"> Travel Rul</w:t>
      </w:r>
      <w:r>
        <w:t xml:space="preserve">e, for instance, </w:t>
      </w:r>
      <w:r w:rsidRPr="00356303">
        <w:t>serves as an international</w:t>
      </w:r>
      <w:r w:rsidRPr="008808C6">
        <w:t xml:space="preserve"> standard</w:t>
      </w:r>
      <w:r>
        <w:t xml:space="preserve"> but is adopted, </w:t>
      </w:r>
      <w:r w:rsidRPr="008808C6">
        <w:t>interpret</w:t>
      </w:r>
      <w:r>
        <w:t>ed</w:t>
      </w:r>
      <w:r w:rsidRPr="008808C6">
        <w:t>, and enforce</w:t>
      </w:r>
      <w:r>
        <w:t>d differently from country to country</w:t>
      </w:r>
      <w:r w:rsidRPr="008808C6">
        <w:t>.</w:t>
      </w:r>
    </w:p>
    <w:p w14:paraId="2F466A8A" w14:textId="77777777" w:rsidR="003724DF" w:rsidRPr="00AD2663" w:rsidRDefault="003724DF" w:rsidP="003724DF">
      <w:pPr>
        <w:pStyle w:val="Heading3"/>
      </w:pPr>
      <w:r w:rsidRPr="00AD2663">
        <w:t xml:space="preserve">European Union’s </w:t>
      </w:r>
      <w:r>
        <w:t>MiCA for crypto asset standardization</w:t>
      </w:r>
    </w:p>
    <w:p w14:paraId="3B71F7B1" w14:textId="77777777" w:rsidR="003724DF" w:rsidRDefault="003724DF" w:rsidP="003724DF">
      <w:r>
        <w:t xml:space="preserve">The </w:t>
      </w:r>
      <w:r w:rsidRPr="00AD2663">
        <w:t xml:space="preserve">Markets in Crypto-Assets </w:t>
      </w:r>
      <w:r>
        <w:t xml:space="preserve">Regulation </w:t>
      </w:r>
      <w:r w:rsidRPr="00F43D7E">
        <w:t>is a cross-jurisdictional framework representing the EU’s legislative efforts to uniformize</w:t>
      </w:r>
      <w:r w:rsidRPr="0077696B">
        <w:t xml:space="preserve"> </w:t>
      </w:r>
      <w:r w:rsidRPr="00252258">
        <w:t>guide</w:t>
      </w:r>
      <w:r w:rsidRPr="00EA0311">
        <w:t xml:space="preserve">lines for the classification, issuance, and trading of digital assets in the </w:t>
      </w:r>
      <w:r>
        <w:t>region</w:t>
      </w:r>
      <w:r w:rsidRPr="00EA0311">
        <w:t>.</w:t>
      </w:r>
      <w:r w:rsidRPr="000124D4">
        <w:t xml:space="preserve"> </w:t>
      </w:r>
      <w:r w:rsidRPr="00AD2663">
        <w:t xml:space="preserve">MiCA </w:t>
      </w:r>
      <w:r>
        <w:t>also entails</w:t>
      </w:r>
      <w:r w:rsidRPr="00AD2663">
        <w:t xml:space="preserve"> some AML principles, but its guidance isn’t as comprehensive as</w:t>
      </w:r>
      <w:r>
        <w:t xml:space="preserve"> that laid out by</w:t>
      </w:r>
      <w:r w:rsidRPr="00AD2663">
        <w:t xml:space="preserve"> FATF recommendations.</w:t>
      </w:r>
    </w:p>
    <w:p w14:paraId="1E3806B0" w14:textId="77777777" w:rsidR="003724DF" w:rsidRDefault="003724DF" w:rsidP="003724DF">
      <w:r>
        <w:t>P</w:t>
      </w:r>
      <w:r w:rsidRPr="0077696B">
        <w:t>assed by the European Parliament in April 2023,</w:t>
      </w:r>
      <w:r>
        <w:t xml:space="preserve"> the regulatory regime</w:t>
      </w:r>
      <w:r w:rsidRPr="0077696B">
        <w:t xml:space="preserve"> </w:t>
      </w:r>
      <w:r>
        <w:t>introduces</w:t>
      </w:r>
      <w:r w:rsidRPr="0077696B">
        <w:t xml:space="preserve"> a one-stop licensing scheme </w:t>
      </w:r>
      <w:r>
        <w:t>that</w:t>
      </w:r>
      <w:r w:rsidRPr="0077696B">
        <w:t xml:space="preserve"> allows crypto-asset service providers to operate throughout the bloc by </w:t>
      </w:r>
      <w:r>
        <w:t xml:space="preserve">acquiring a CASP </w:t>
      </w:r>
      <w:r w:rsidRPr="0077696B">
        <w:t>licens</w:t>
      </w:r>
      <w:r>
        <w:t>e</w:t>
      </w:r>
      <w:r w:rsidRPr="0077696B">
        <w:t xml:space="preserve"> in any member state</w:t>
      </w:r>
      <w:r>
        <w:t xml:space="preserve">. </w:t>
      </w:r>
      <w:r w:rsidRPr="001A295C">
        <w:t xml:space="preserve">CASP license requirements </w:t>
      </w:r>
      <w:r>
        <w:t>include i</w:t>
      </w:r>
      <w:r w:rsidRPr="001A295C">
        <w:t xml:space="preserve">nternal </w:t>
      </w:r>
      <w:r>
        <w:t xml:space="preserve">documentation, headquarters' location within Europe, and an </w:t>
      </w:r>
      <w:r w:rsidRPr="001A295C">
        <w:t>EU-</w:t>
      </w:r>
      <w:r>
        <w:t>b</w:t>
      </w:r>
      <w:r w:rsidRPr="001A295C">
        <w:t>ased management board</w:t>
      </w:r>
      <w:r>
        <w:t xml:space="preserve">. </w:t>
      </w:r>
    </w:p>
    <w:p w14:paraId="6665490E" w14:textId="77777777" w:rsidR="003724DF" w:rsidRPr="00AD2663" w:rsidRDefault="003724DF" w:rsidP="003724DF">
      <w:pPr>
        <w:pStyle w:val="Heading3"/>
      </w:pPr>
      <w:r w:rsidRPr="00AD2663">
        <w:t>U.S. FinCEN requirements for blockchain-related businesses</w:t>
      </w:r>
    </w:p>
    <w:p w14:paraId="56B083FD" w14:textId="77777777" w:rsidR="003724DF" w:rsidRDefault="003724DF" w:rsidP="003724DF">
      <w:r w:rsidRPr="00AD2663">
        <w:t>The Financial Crimes Enforcement Network is a bureau of the U.S. Department of the Treasury established to</w:t>
      </w:r>
      <w:r>
        <w:t xml:space="preserve"> support</w:t>
      </w:r>
      <w:r w:rsidRPr="00AD2663">
        <w:t xml:space="preserve"> money laundering and the financing of terrorism</w:t>
      </w:r>
      <w:r w:rsidRPr="00C86AC5">
        <w:t xml:space="preserve"> </w:t>
      </w:r>
      <w:r>
        <w:t>combative efforts</w:t>
      </w:r>
      <w:r w:rsidRPr="00AD2663">
        <w:t>.</w:t>
      </w:r>
    </w:p>
    <w:p w14:paraId="4CC45BF3" w14:textId="77777777" w:rsidR="003724DF" w:rsidRPr="00AD2663" w:rsidRDefault="003724DF" w:rsidP="003724DF">
      <w:r w:rsidRPr="00AD2663">
        <w:t>FinCEN outlines obligations for domestic financial institutions and foreign entities that act as counterparties in transactions involving the U.S. financial system. These include sanction compliance, record keeping, and AML/KYC measures.</w:t>
      </w:r>
    </w:p>
    <w:p w14:paraId="2408475B" w14:textId="77777777" w:rsidR="003724DF" w:rsidRPr="00FB37CF" w:rsidRDefault="003724DF" w:rsidP="003724DF">
      <w:pPr>
        <w:pStyle w:val="Heading2"/>
      </w:pPr>
      <w:r w:rsidRPr="00FB37CF">
        <w:t>On-Chain Monitoring and Security Compliance</w:t>
      </w:r>
    </w:p>
    <w:p w14:paraId="6CA62BDF" w14:textId="77777777" w:rsidR="003724DF" w:rsidRDefault="003724DF" w:rsidP="003724DF">
      <w:pPr>
        <w:spacing w:before="40" w:after="120" w:line="259" w:lineRule="auto"/>
      </w:pPr>
      <w:r>
        <w:t xml:space="preserve">As part of measures to </w:t>
      </w:r>
      <w:r w:rsidRPr="0050394B">
        <w:t>curb the increased use of blockchain-based assets to enable money laundering, terrorist financing and other financial</w:t>
      </w:r>
      <w:r w:rsidRPr="00FB37CF">
        <w:t xml:space="preserve"> crime, </w:t>
      </w:r>
      <w:r w:rsidRPr="0084320C">
        <w:t>global and regional regulators have set standards and guidelines that financial institutions must adhere to</w:t>
      </w:r>
      <w:r>
        <w:t xml:space="preserve">. These include </w:t>
      </w:r>
      <w:r w:rsidRPr="00FB37CF">
        <w:t xml:space="preserve">directives </w:t>
      </w:r>
      <w:r>
        <w:t xml:space="preserve">which </w:t>
      </w:r>
      <w:r w:rsidRPr="00FB37CF">
        <w:t>require reporting of potentially suspicious transaction</w:t>
      </w:r>
      <w:r>
        <w:t xml:space="preserve"> activity</w:t>
      </w:r>
      <w:r w:rsidRPr="00FB37CF">
        <w:t xml:space="preserve"> to authorities.</w:t>
      </w:r>
    </w:p>
    <w:p w14:paraId="3DEE0498" w14:textId="77777777" w:rsidR="003724DF" w:rsidRPr="006756B1" w:rsidRDefault="003724DF" w:rsidP="003724DF">
      <w:pPr>
        <w:pStyle w:val="Heading3"/>
      </w:pPr>
      <w:r w:rsidRPr="007F5515">
        <w:t>Tools and strategies mandated by FATF and EU directives</w:t>
      </w:r>
    </w:p>
    <w:p w14:paraId="6F331B59" w14:textId="77777777" w:rsidR="003724DF" w:rsidRPr="006267BB" w:rsidRDefault="003724DF" w:rsidP="003724DF">
      <w:pPr>
        <w:spacing w:before="40" w:after="120" w:line="259" w:lineRule="auto"/>
        <w:rPr>
          <w:highlight w:val="yellow"/>
        </w:rPr>
      </w:pPr>
      <w:r w:rsidRPr="00FB37CF">
        <w:t xml:space="preserve">Effectively, Web3 entities </w:t>
      </w:r>
      <w:r>
        <w:t>whose operations entail processing</w:t>
      </w:r>
      <w:r w:rsidRPr="00FB37CF">
        <w:t xml:space="preserve"> </w:t>
      </w:r>
      <w:r>
        <w:t xml:space="preserve">user </w:t>
      </w:r>
      <w:r w:rsidRPr="00FB37CF">
        <w:t xml:space="preserve">transactions should have onchain monitoring </w:t>
      </w:r>
      <w:r w:rsidRPr="003A0574">
        <w:t>capability</w:t>
      </w:r>
      <w:r>
        <w:t xml:space="preserve">. </w:t>
      </w:r>
      <w:r w:rsidRPr="003A0574">
        <w:t xml:space="preserve">This can be </w:t>
      </w:r>
      <w:r>
        <w:t>achieved</w:t>
      </w:r>
      <w:r w:rsidRPr="003A0574">
        <w:t xml:space="preserve"> by using transaction monitoring systems, analytic platforms and forensics tools which can create and share regulatory reports. </w:t>
      </w:r>
    </w:p>
    <w:p w14:paraId="16AD2743" w14:textId="77777777" w:rsidR="003724DF" w:rsidRPr="0084320C" w:rsidRDefault="003724DF" w:rsidP="003724DF">
      <w:pPr>
        <w:spacing w:before="40" w:after="120" w:line="259" w:lineRule="auto"/>
      </w:pPr>
      <w:r w:rsidRPr="0084320C">
        <w:t>The FATF recommendations and the EU’s Fifth Anti-Money Laundering Directive encourage the use of these tools to help execute compliance strategies.</w:t>
      </w:r>
      <w:r>
        <w:t xml:space="preserve"> </w:t>
      </w:r>
      <w:r w:rsidRPr="0084320C">
        <w:t>On-chain monitoring tools enable service providers to monitor blockchain transactions in real-time, track wallet activity, and visualize the movement of assets between wallets.</w:t>
      </w:r>
      <w:r>
        <w:t xml:space="preserve"> </w:t>
      </w:r>
    </w:p>
    <w:p w14:paraId="0BC7E79F" w14:textId="77777777" w:rsidR="003724DF" w:rsidRPr="00531044" w:rsidRDefault="003724DF" w:rsidP="003724DF">
      <w:pPr>
        <w:pStyle w:val="Heading3"/>
      </w:pPr>
      <w:r w:rsidRPr="00531044">
        <w:t>Importance of transaction transparency and fraud prevention</w:t>
      </w:r>
    </w:p>
    <w:p w14:paraId="0F0D6DAC" w14:textId="77777777" w:rsidR="003724DF" w:rsidRDefault="003724DF" w:rsidP="003724DF">
      <w:r w:rsidRPr="00531044">
        <w:t xml:space="preserve">Transparency refers to the ability to trace the origin and destination of assets on the blockchain. Fraud prevention focuses on identifying and mitigating the risks of financial crimes. </w:t>
      </w:r>
    </w:p>
    <w:p w14:paraId="113507B9" w14:textId="77777777" w:rsidR="003724DF" w:rsidRPr="00CD1BF7" w:rsidRDefault="003724DF" w:rsidP="003724DF">
      <w:r w:rsidRPr="00531044">
        <w:t xml:space="preserve">Blockchain monitoring tools and analytical solutions are useful for extracting and interpreting </w:t>
      </w:r>
      <w:r>
        <w:t>onchain</w:t>
      </w:r>
      <w:r w:rsidRPr="00531044">
        <w:t xml:space="preserve"> data enabling businesses to uncover fraudulent activity.</w:t>
      </w:r>
      <w:r w:rsidRPr="00824DA9">
        <w:t xml:space="preserve"> </w:t>
      </w:r>
      <w:r w:rsidRPr="0084320C">
        <w:t>AML/CFT compliance solutions help verify the identities of transaction counterparties, ensuring compliance with know-your-customer and anti-money laundering requirements.</w:t>
      </w:r>
    </w:p>
    <w:p w14:paraId="3A760C70" w14:textId="77777777" w:rsidR="003724DF" w:rsidRDefault="003724DF" w:rsidP="003724DF">
      <w:pPr>
        <w:pStyle w:val="Heading2"/>
      </w:pPr>
      <w:r w:rsidRPr="00AD2663">
        <w:lastRenderedPageBreak/>
        <w:t>Regional Differences in Blockchain Compliance</w:t>
      </w:r>
    </w:p>
    <w:p w14:paraId="5DC8026C" w14:textId="77777777" w:rsidR="003724DF" w:rsidRPr="00D96A3C" w:rsidRDefault="003724DF" w:rsidP="003724DF">
      <w:r>
        <w:t>Regulators</w:t>
      </w:r>
      <w:r w:rsidRPr="00AD2663">
        <w:t xml:space="preserve"> </w:t>
      </w:r>
      <w:r w:rsidRPr="00482519">
        <w:t>in different countries have adopted diverse approaches with respect to blockchain regulation, each shaped by prevailing economic and legal contexts.</w:t>
      </w:r>
    </w:p>
    <w:p w14:paraId="5D11CBFD" w14:textId="77777777" w:rsidR="003724DF" w:rsidRPr="00AD2663" w:rsidRDefault="003724DF" w:rsidP="003724DF">
      <w:pPr>
        <w:pStyle w:val="Heading3"/>
      </w:pPr>
      <w:r w:rsidRPr="00AD2663">
        <w:t>Contrast between the EU, U.S., and Asia</w:t>
      </w:r>
    </w:p>
    <w:p w14:paraId="0ECB9230" w14:textId="77777777" w:rsidR="003724DF" w:rsidRDefault="003724DF" w:rsidP="003724DF">
      <w:pPr>
        <w:pStyle w:val="Heading4"/>
      </w:pPr>
      <w:r w:rsidRPr="00AD2663">
        <w:t>Europe</w:t>
      </w:r>
    </w:p>
    <w:p w14:paraId="32B3F6C8" w14:textId="77777777" w:rsidR="003724DF" w:rsidRDefault="003724DF" w:rsidP="003724DF">
      <w:r w:rsidRPr="00AD2663">
        <w:t xml:space="preserve">The </w:t>
      </w:r>
      <w:r>
        <w:t>recently introduced MiCA regulation represents a harmonized approach to regulation by standardizing principles in Europe. However, MiCA i</w:t>
      </w:r>
      <w:r w:rsidRPr="00AD2663">
        <w:t>s</w:t>
      </w:r>
      <w:r>
        <w:t>n’t</w:t>
      </w:r>
      <w:r w:rsidRPr="00AD2663">
        <w:t xml:space="preserve"> the </w:t>
      </w:r>
      <w:r>
        <w:t>only</w:t>
      </w:r>
      <w:r w:rsidRPr="00AD2663">
        <w:t xml:space="preserve"> European-level framework that </w:t>
      </w:r>
      <w:r>
        <w:t>stakeholders</w:t>
      </w:r>
      <w:r w:rsidRPr="00AD2663">
        <w:t xml:space="preserve"> should </w:t>
      </w:r>
      <w:r>
        <w:t>be aware of</w:t>
      </w:r>
      <w:r w:rsidRPr="00AD2663">
        <w:t>.</w:t>
      </w:r>
      <w:r>
        <w:t xml:space="preserve"> </w:t>
      </w:r>
      <w:r w:rsidRPr="00AD2663">
        <w:t>The Digital Operational Resilience Act</w:t>
      </w:r>
      <w:r>
        <w:t>, which has a broader</w:t>
      </w:r>
      <w:r w:rsidRPr="002F4470">
        <w:t xml:space="preserve"> </w:t>
      </w:r>
      <w:r w:rsidRPr="00AD2663">
        <w:t xml:space="preserve">scope </w:t>
      </w:r>
      <w:r>
        <w:t>encompassing</w:t>
      </w:r>
      <w:r w:rsidRPr="00AD2663">
        <w:t xml:space="preserve"> European financial institutions</w:t>
      </w:r>
      <w:r>
        <w:t xml:space="preserve">, </w:t>
      </w:r>
      <w:r w:rsidRPr="00AD2663">
        <w:t xml:space="preserve">will </w:t>
      </w:r>
      <w:r>
        <w:t>go into</w:t>
      </w:r>
      <w:r w:rsidRPr="00AD2663">
        <w:t xml:space="preserve"> effect </w:t>
      </w:r>
      <w:r>
        <w:t>in</w:t>
      </w:r>
      <w:r w:rsidRPr="00AD2663">
        <w:t xml:space="preserve"> January 2025. </w:t>
      </w:r>
    </w:p>
    <w:p w14:paraId="3D0F2B1A" w14:textId="77777777" w:rsidR="003724DF" w:rsidRDefault="003724DF" w:rsidP="003724DF">
      <w:pPr>
        <w:pStyle w:val="Heading4"/>
      </w:pPr>
      <w:r w:rsidRPr="00AD2663">
        <w:t>The U.S.</w:t>
      </w:r>
    </w:p>
    <w:p w14:paraId="09F55320" w14:textId="77777777" w:rsidR="003724DF" w:rsidRPr="00B14190" w:rsidRDefault="003724DF" w:rsidP="003724DF">
      <w:r w:rsidRPr="00B14190">
        <w:t>The U.S. has been criticized for lacking consistency in its enforcement-biased regulatory approach. The US Department of Justice, Securities and Exchange Commission, Commodity Futures Trading Commission and other regulators at the state level have in the past taken actions against Web3-involved companies.</w:t>
      </w:r>
    </w:p>
    <w:p w14:paraId="23829B77" w14:textId="77777777" w:rsidR="003724DF" w:rsidRPr="00B14190" w:rsidRDefault="003724DF" w:rsidP="003724DF">
      <w:r w:rsidRPr="00B14190">
        <w:t>Under the Biden administration, the Financial Innovation and Technology for the 21st Century Act</w:t>
      </w:r>
      <w:r>
        <w:t xml:space="preserve"> </w:t>
      </w:r>
      <w:r w:rsidRPr="00B14190">
        <w:t>sought to clarify the regulatory roles and boundaries of authorities involved in oversight capacity.</w:t>
      </w:r>
    </w:p>
    <w:p w14:paraId="6492D77B" w14:textId="77777777" w:rsidR="003724DF" w:rsidRPr="00B14190" w:rsidRDefault="003724DF" w:rsidP="003724DF">
      <w:r w:rsidRPr="00B14190">
        <w:t xml:space="preserve">A </w:t>
      </w:r>
      <w:hyperlink r:id="rId11" w:history="1">
        <w:r w:rsidRPr="00B14190">
          <w:rPr>
            <w:rStyle w:val="Hyperlink"/>
          </w:rPr>
          <w:t>product</w:t>
        </w:r>
      </w:hyperlink>
      <w:r w:rsidRPr="00B14190">
        <w:t xml:space="preserve"> of joint efforts by legislators, company executives, and other stakeholders, FIT21 was tabled in the U.S. House of Representatives in July 2023 and passed in May 2024. As of September 2024, the bill had been received in the Senate and referred to the Committee on Banking, Housing, and Urban Affairs.</w:t>
      </w:r>
    </w:p>
    <w:p w14:paraId="70616CD0" w14:textId="77777777" w:rsidR="003724DF" w:rsidRPr="00B14190" w:rsidRDefault="003724DF" w:rsidP="003724DF">
      <w:r w:rsidRPr="00B14190">
        <w:t>Latest reports indicate that the Trump administration intends to empower the CFTC to regulate the spot market for crypto and other tokens deemed digital commodities, as well as the exchanges and platforms where they are traded.</w:t>
      </w:r>
    </w:p>
    <w:p w14:paraId="64984D50" w14:textId="77777777" w:rsidR="003724DF" w:rsidRPr="00B14190" w:rsidRDefault="003724DF" w:rsidP="003724DF">
      <w:r w:rsidRPr="00B14190">
        <w:t>There have also been calls for the US to establish regulatory sandboxes to promote the development of blockchain technology.</w:t>
      </w:r>
    </w:p>
    <w:p w14:paraId="41DAE9AD" w14:textId="77777777" w:rsidR="003724DF" w:rsidRPr="00AD2663" w:rsidRDefault="003724DF" w:rsidP="003724DF">
      <w:pPr>
        <w:pStyle w:val="Heading4"/>
      </w:pPr>
      <w:r w:rsidRPr="00AD2663">
        <w:t>Asia</w:t>
      </w:r>
    </w:p>
    <w:p w14:paraId="0643761B" w14:textId="77777777" w:rsidR="003724DF" w:rsidRPr="00524E58" w:rsidRDefault="003724DF" w:rsidP="003724DF">
      <w:r w:rsidRPr="00524E58">
        <w:t>In Asia, the regulatory approach is analogous for some countries and divergent in others.</w:t>
      </w:r>
    </w:p>
    <w:p w14:paraId="65169EA2" w14:textId="77777777" w:rsidR="003724DF" w:rsidRPr="00524E58" w:rsidRDefault="003724DF" w:rsidP="003724DF">
      <w:r w:rsidRPr="00524E58">
        <w:t>Mainland China, for instance, enforces strict regulations and limitations on blockchain-related activities like crypto trading.</w:t>
      </w:r>
    </w:p>
    <w:p w14:paraId="2FD088DD" w14:textId="77777777" w:rsidR="003724DF" w:rsidRPr="00524E58" w:rsidRDefault="003724DF" w:rsidP="003724DF">
      <w:r w:rsidRPr="00524E58">
        <w:t xml:space="preserve">Conversely, Hong Kong is slightly receptive and embraces a principles-based regulatory approach. The country’s central bank, the Hong Kong Monetary Authority, has prescribed AML/CFT guidelines, among other rules. Hong Kong also relies on a </w:t>
      </w:r>
      <w:hyperlink r:id="rId12" w:history="1">
        <w:r w:rsidRPr="00524E58">
          <w:rPr>
            <w:rStyle w:val="Hyperlink"/>
          </w:rPr>
          <w:t>regulatory sandbox regime</w:t>
        </w:r>
      </w:hyperlink>
      <w:r w:rsidRPr="00524E58">
        <w:t xml:space="preserve"> to promote innovation in financial services and products under relaxed regulations. The Hong Kong Securities and Futures Commission </w:t>
      </w:r>
      <w:hyperlink r:id="rId13" w:history="1">
        <w:r w:rsidRPr="00524E58">
          <w:rPr>
            <w:rStyle w:val="Hyperlink"/>
            <w:color w:val="auto"/>
          </w:rPr>
          <w:t>launched</w:t>
        </w:r>
      </w:hyperlink>
      <w:r w:rsidRPr="00524E58">
        <w:t xml:space="preserve"> a sandbox for financial service providers in September 2017. In March 2024, the HKMA </w:t>
      </w:r>
      <w:hyperlink r:id="rId14" w:history="1">
        <w:r w:rsidRPr="00524E58">
          <w:rPr>
            <w:rStyle w:val="Hyperlink"/>
            <w:color w:val="auto"/>
          </w:rPr>
          <w:t>introduced</w:t>
        </w:r>
      </w:hyperlink>
      <w:r w:rsidRPr="00524E58">
        <w:t xml:space="preserve"> a sandbox arrangement for stablecoin issuers. </w:t>
      </w:r>
    </w:p>
    <w:p w14:paraId="6E1F6238" w14:textId="77777777" w:rsidR="003724DF" w:rsidRPr="00524E58" w:rsidRDefault="003724DF" w:rsidP="003724DF">
      <w:r w:rsidRPr="00524E58">
        <w:t xml:space="preserve">In Singapore, the Monetary Authority of Singapore practices oversight on digital asset custody, cross-border payments, and token transfers through the Payment Services Act. Like Hong Kong, Singapore has a regulatory sandbox environment. In April 2022, the Singapore Parliament </w:t>
      </w:r>
      <w:hyperlink r:id="rId15" w:history="1">
        <w:r w:rsidRPr="00524E58">
          <w:rPr>
            <w:rStyle w:val="Hyperlink"/>
            <w:color w:val="auto"/>
          </w:rPr>
          <w:t>passed</w:t>
        </w:r>
      </w:hyperlink>
      <w:r w:rsidRPr="00524E58">
        <w:t xml:space="preserve"> the Financial Services and Markets Act, which sought to enhance the “agility and effectiveness” of the MAS. </w:t>
      </w:r>
    </w:p>
    <w:p w14:paraId="4507F9AD" w14:textId="77777777" w:rsidR="003724DF" w:rsidRPr="00524E58" w:rsidRDefault="003724DF" w:rsidP="003724DF">
      <w:r w:rsidRPr="00524E58">
        <w:t xml:space="preserve">The Financial Service Agency enforces compliance in Japan and can revoke licenses where misconduct occurs. Self-regulatory organizations also play a role in monitoring compliance – the Japan Security Token Offering Association and Japan Virtual Currency Exchange Association, are formally recognized in this regard. Japan, however, lacks an omnibus regulatory framework governing blockchain-based token </w:t>
      </w:r>
      <w:proofErr w:type="gramStart"/>
      <w:r w:rsidRPr="00524E58">
        <w:t>offerings</w:t>
      </w:r>
      <w:proofErr w:type="gramEnd"/>
      <w:r w:rsidRPr="00524E58">
        <w:t xml:space="preserve"> like Singapore’s FSMA.</w:t>
      </w:r>
    </w:p>
    <w:p w14:paraId="5E023B16" w14:textId="77777777" w:rsidR="003724DF" w:rsidRPr="00524E58" w:rsidRDefault="003724DF" w:rsidP="003724DF">
      <w:r w:rsidRPr="00524E58">
        <w:t>The Bangko Sentral ng Pilipinas issues and administers the regulatory framework in the Philippines. The central banking institution ensures virtual currency exchanges operate in conformance with its guidelines, which include AML/CFT and data protection rules. The Philippine government supports</w:t>
      </w:r>
      <w:hyperlink r:id="rId16" w:history="1">
        <w:r w:rsidRPr="00524E58">
          <w:rPr>
            <w:rStyle w:val="Hyperlink"/>
            <w:color w:val="auto"/>
          </w:rPr>
          <w:t xml:space="preserve"> regulatory sandboxes</w:t>
        </w:r>
      </w:hyperlink>
      <w:r w:rsidRPr="00524E58">
        <w:t xml:space="preserve"> and instituted the BSP's regulatory sandbox framework in 2019.</w:t>
      </w:r>
    </w:p>
    <w:p w14:paraId="16A1A1A6" w14:textId="77777777" w:rsidR="003724DF" w:rsidRDefault="003724DF" w:rsidP="003724DF">
      <w:pPr>
        <w:pStyle w:val="Heading3"/>
      </w:pPr>
      <w:r>
        <w:t>How projects can navigate jurisdictional complexities</w:t>
      </w:r>
    </w:p>
    <w:p w14:paraId="51C30AEF" w14:textId="77777777" w:rsidR="003724DF" w:rsidRPr="00040938" w:rsidRDefault="003724DF" w:rsidP="003724DF">
      <w:r w:rsidRPr="00040938">
        <w:t xml:space="preserve">Regulatory guidance in different jurisdictions can sometimes be inconsistent. Even where international or global standards are recommended, implementation and enforcement vary. </w:t>
      </w:r>
    </w:p>
    <w:p w14:paraId="4287646A" w14:textId="77777777" w:rsidR="003724DF" w:rsidRDefault="003724DF" w:rsidP="003724DF">
      <w:r w:rsidRPr="00040938">
        <w:t xml:space="preserve">In addition, regulatory requirements are often </w:t>
      </w:r>
      <w:r w:rsidRPr="00AB2F67">
        <w:t>revised to keep up with evolving requirements. These complexities have created a regulatory compliance dynamic that demands</w:t>
      </w:r>
      <w:r w:rsidRPr="00040938">
        <w:t xml:space="preserve"> constant adaptation.</w:t>
      </w:r>
    </w:p>
    <w:p w14:paraId="5F241E6F" w14:textId="77777777" w:rsidR="003724DF" w:rsidRPr="00040938" w:rsidRDefault="003724DF" w:rsidP="003724DF">
      <w:r w:rsidRPr="001F0576">
        <w:t>The</w:t>
      </w:r>
      <w:r>
        <w:t>re is a</w:t>
      </w:r>
      <w:r w:rsidRPr="001F0576">
        <w:t xml:space="preserve"> need for cross-border collaboration</w:t>
      </w:r>
      <w:r>
        <w:t xml:space="preserve"> to</w:t>
      </w:r>
      <w:r w:rsidRPr="001F0576">
        <w:t xml:space="preserve"> </w:t>
      </w:r>
      <w:r>
        <w:t xml:space="preserve">address these </w:t>
      </w:r>
      <w:r w:rsidRPr="007C7B74">
        <w:t>complex jurisdictional issue</w:t>
      </w:r>
      <w:r>
        <w:t xml:space="preserve">s. The existence of </w:t>
      </w:r>
      <w:r w:rsidRPr="00240C9D">
        <w:t xml:space="preserve">common threads </w:t>
      </w:r>
      <w:r>
        <w:t>and unifying elements in the frameworks adopted in different regions provides a foundation for collective efforts</w:t>
      </w:r>
    </w:p>
    <w:p w14:paraId="07B05FB2" w14:textId="77777777" w:rsidR="003724DF" w:rsidRPr="00AD2663" w:rsidRDefault="003724DF" w:rsidP="003724DF">
      <w:pPr>
        <w:pStyle w:val="Heading1"/>
      </w:pPr>
      <w:r w:rsidRPr="00AD2663">
        <w:lastRenderedPageBreak/>
        <w:t>Challenges of Blockchain Regulatory Compliance</w:t>
      </w:r>
    </w:p>
    <w:p w14:paraId="1453DB33" w14:textId="77777777" w:rsidR="003724DF" w:rsidRPr="00AD2663" w:rsidRDefault="003724DF" w:rsidP="003724DF">
      <w:pPr>
        <w:pStyle w:val="Heading2"/>
      </w:pPr>
      <w:r w:rsidRPr="00AD2663">
        <w:t>Blockchain Regulatory Issues and Legal Barriers</w:t>
      </w:r>
    </w:p>
    <w:p w14:paraId="700CFB75" w14:textId="77777777" w:rsidR="003724DF" w:rsidRDefault="003724DF" w:rsidP="003724DF">
      <w:pPr>
        <w:pStyle w:val="Heading3"/>
      </w:pPr>
      <w:r>
        <w:t>C</w:t>
      </w:r>
      <w:r w:rsidRPr="00AD2663">
        <w:t>omplexity of cross-border transactions</w:t>
      </w:r>
    </w:p>
    <w:p w14:paraId="3D179FBB" w14:textId="77777777" w:rsidR="003724DF" w:rsidRPr="00040938" w:rsidRDefault="003724DF" w:rsidP="003724DF">
      <w:r w:rsidRPr="00040938">
        <w:t>Cross-border blockchain transactions add nuances and intricacies to the process of compliance. The lack of international consensus on blockchain regulation further complicates the compliance exercise.</w:t>
      </w:r>
    </w:p>
    <w:p w14:paraId="4E5795E2" w14:textId="77777777" w:rsidR="003724DF" w:rsidRPr="00AD2663" w:rsidRDefault="003724DF" w:rsidP="003724DF">
      <w:pPr>
        <w:pStyle w:val="Heading3"/>
      </w:pPr>
      <w:r w:rsidRPr="00AD2663">
        <w:t>Ambiguity in crypto asset classifications</w:t>
      </w:r>
    </w:p>
    <w:p w14:paraId="111DEDD9" w14:textId="77777777" w:rsidR="003724DF" w:rsidRPr="00AD2663" w:rsidRDefault="003724DF" w:rsidP="003724DF">
      <w:r w:rsidRPr="00AD2663">
        <w:t xml:space="preserve">Despite efforts to address </w:t>
      </w:r>
      <w:r>
        <w:t>the contentious issue of digital asset classification</w:t>
      </w:r>
      <w:r w:rsidRPr="00AD2663">
        <w:t>, there remains confusion among market participants. The resulting uncertainty has made compliance difficult and led to legal disputes between regulators, brokerage firms, investors, and consumers. The U.S. SEC lawsuit against Ripple Labs in 2020 best highlights this legal polarization.</w:t>
      </w:r>
    </w:p>
    <w:p w14:paraId="443A6324" w14:textId="77777777" w:rsidR="003724DF" w:rsidRPr="00AD2663" w:rsidRDefault="003724DF" w:rsidP="003724DF">
      <w:pPr>
        <w:pStyle w:val="Heading2"/>
      </w:pPr>
      <w:r w:rsidRPr="00AD2663">
        <w:t>Challenges for Blockchain Privacy and Compliance</w:t>
      </w:r>
    </w:p>
    <w:p w14:paraId="0EFA3698" w14:textId="77777777" w:rsidR="003724DF" w:rsidRDefault="003724DF" w:rsidP="003724DF">
      <w:pPr>
        <w:pStyle w:val="Heading3"/>
      </w:pPr>
      <w:r>
        <w:t>B</w:t>
      </w:r>
      <w:r w:rsidRPr="00AD2663">
        <w:t>alancing privacy with transparency</w:t>
      </w:r>
    </w:p>
    <w:p w14:paraId="300D28E1" w14:textId="77777777" w:rsidR="003724DF" w:rsidRPr="001565C8" w:rsidRDefault="003724DF" w:rsidP="003724DF">
      <w:r w:rsidRPr="001565C8">
        <w:t>Web3 entities processing user data are required to protect sensitive information while granting visibility into their practices and processes. In some cases, user privacy, transaction integrity, and trust in the system can clash as contradictory interests. Attaining privacy may involve restricting access to certain information, while transparency inherently calls for openness.</w:t>
      </w:r>
    </w:p>
    <w:p w14:paraId="03E61A68" w14:textId="77777777" w:rsidR="003724DF" w:rsidRPr="00AD2663" w:rsidRDefault="003724DF" w:rsidP="003724DF">
      <w:pPr>
        <w:pStyle w:val="Heading3"/>
      </w:pPr>
      <w:r w:rsidRPr="00AD2663">
        <w:t>Impacts of GDPR and similar regulations on blockchain privacy</w:t>
      </w:r>
    </w:p>
    <w:p w14:paraId="2D8FB304" w14:textId="77777777" w:rsidR="003724DF" w:rsidRPr="001565C8" w:rsidRDefault="003724DF" w:rsidP="003724DF">
      <w:r w:rsidRPr="001565C8">
        <w:t>Blockchain’s inherent transparent design can also conflict with the requirements of data protection regulations like GDPR. Reconciling this incongruity and striking a compliant balance necessitates substantial effort and novel strategies.</w:t>
      </w:r>
    </w:p>
    <w:p w14:paraId="7CD372DF" w14:textId="77777777" w:rsidR="003724DF" w:rsidRPr="001565C8" w:rsidRDefault="003724DF" w:rsidP="003724DF">
      <w:r w:rsidRPr="001565C8">
        <w:t xml:space="preserve">There are ongoing research efforts to realize privacy-preserving mechanisms that can support regulatory compliance. A 2023 </w:t>
      </w:r>
      <w:hyperlink r:id="rId17" w:history="1">
        <w:r w:rsidRPr="001565C8">
          <w:rPr>
            <w:rStyle w:val="Hyperlink"/>
            <w:color w:val="auto"/>
          </w:rPr>
          <w:t>research paper</w:t>
        </w:r>
      </w:hyperlink>
      <w:r w:rsidRPr="001565C8">
        <w:t xml:space="preserve"> coauthored by Ethereum co-creator Vitalik Buterin and three others discussed privacy pools-like protocols as a potential solution. The co-authors propose an opt-in privacy pool infrastructure using zero-knowledge proofs and the concept of ‘association sets’ to distinguish trustworthy users from questionable ones.</w:t>
      </w:r>
    </w:p>
    <w:p w14:paraId="56EACDB8" w14:textId="77777777" w:rsidR="003724DF" w:rsidRPr="00AD2663" w:rsidRDefault="003724DF" w:rsidP="003724DF">
      <w:pPr>
        <w:pStyle w:val="Heading2"/>
      </w:pPr>
      <w:r w:rsidRPr="00AD2663">
        <w:t>Technical and Operational Limitations of Blockchain Compliance</w:t>
      </w:r>
    </w:p>
    <w:p w14:paraId="08E2FDAA" w14:textId="77777777" w:rsidR="003724DF" w:rsidRDefault="003724DF" w:rsidP="003724DF">
      <w:pPr>
        <w:pStyle w:val="Heading3"/>
      </w:pPr>
      <w:r w:rsidRPr="00EA5BA5">
        <w:t>Scalability issues for implementing compliance solutions</w:t>
      </w:r>
    </w:p>
    <w:p w14:paraId="072A12DE" w14:textId="77777777" w:rsidR="003724DF" w:rsidRPr="00AD2663" w:rsidRDefault="003724DF" w:rsidP="003724DF">
      <w:r w:rsidRPr="00AD2663">
        <w:t>The decentralized architecture and features of blockchains, like cryptographic protocols, complicate integrations with compliance solutions.</w:t>
      </w:r>
      <w:r>
        <w:t xml:space="preserve"> </w:t>
      </w:r>
      <w:r w:rsidRPr="00AD2663">
        <w:t>In addition, some blockchains have scalability limitations</w:t>
      </w:r>
      <w:r>
        <w:t>,</w:t>
      </w:r>
      <w:r w:rsidRPr="00AD2663">
        <w:t xml:space="preserve"> </w:t>
      </w:r>
      <w:r>
        <w:t>which</w:t>
      </w:r>
      <w:r w:rsidRPr="00AD2663">
        <w:t xml:space="preserve"> can hinder compliance. For instance, network congestion can lead to delayed transaction confirmations, which impedes real-time </w:t>
      </w:r>
      <w:r>
        <w:t>transaction</w:t>
      </w:r>
      <w:r w:rsidRPr="00AD2663">
        <w:t xml:space="preserve"> monitoring.</w:t>
      </w:r>
    </w:p>
    <w:p w14:paraId="74227349" w14:textId="77777777" w:rsidR="003724DF" w:rsidRPr="00AD2663" w:rsidRDefault="003724DF" w:rsidP="003724DF">
      <w:pPr>
        <w:pStyle w:val="Heading3"/>
      </w:pPr>
      <w:r w:rsidRPr="00AD2663">
        <w:t>Cost of maintaining compliance programs</w:t>
      </w:r>
    </w:p>
    <w:p w14:paraId="68ADB0E7" w14:textId="77777777" w:rsidR="003724DF" w:rsidRPr="00AD2663" w:rsidRDefault="003724DF" w:rsidP="003724DF">
      <w:r>
        <w:t>A good compliance program entails</w:t>
      </w:r>
      <w:r w:rsidRPr="00AD2663">
        <w:t xml:space="preserve"> regular audits, AML/KYC programs, and licensure, which can be expensive. Ongoing maintenance expenses and other compliance-related investments in personnel and infrastructure can </w:t>
      </w:r>
      <w:r>
        <w:t xml:space="preserve">also </w:t>
      </w:r>
      <w:r w:rsidRPr="00AD2663">
        <w:t xml:space="preserve">significantly </w:t>
      </w:r>
      <w:r>
        <w:t>escalate</w:t>
      </w:r>
      <w:r w:rsidRPr="00AD2663">
        <w:t xml:space="preserve"> the costs incurred.</w:t>
      </w:r>
    </w:p>
    <w:p w14:paraId="6A6871A5" w14:textId="77777777" w:rsidR="003724DF" w:rsidRPr="00AD2663" w:rsidRDefault="003724DF" w:rsidP="003724DF">
      <w:pPr>
        <w:pStyle w:val="Heading1"/>
      </w:pPr>
      <w:r w:rsidRPr="00AD2663">
        <w:t>Best Practices for Achieving Blockchain Regulatory Compliance</w:t>
      </w:r>
    </w:p>
    <w:p w14:paraId="43DCBE14" w14:textId="77777777" w:rsidR="003724DF" w:rsidRDefault="003724DF" w:rsidP="003724DF">
      <w:r w:rsidRPr="00AD2663">
        <w:t xml:space="preserve">The first step in navigating the complex blockchain regulatory landscape is understanding the historical context of </w:t>
      </w:r>
      <w:r>
        <w:t>applicable</w:t>
      </w:r>
      <w:r w:rsidRPr="00AD2663">
        <w:t xml:space="preserve"> rules and standards. This entails reviewing the </w:t>
      </w:r>
      <w:r>
        <w:t xml:space="preserve">regulatory </w:t>
      </w:r>
      <w:r w:rsidRPr="00AD2663">
        <w:t xml:space="preserve">frameworks in question, their scope, their interpretation </w:t>
      </w:r>
      <w:r>
        <w:t xml:space="preserve">and </w:t>
      </w:r>
      <w:r w:rsidRPr="00AD2663">
        <w:t>how they have changed over time.</w:t>
      </w:r>
    </w:p>
    <w:p w14:paraId="0674D7C4" w14:textId="77777777" w:rsidR="003724DF" w:rsidRPr="00AD2663" w:rsidRDefault="003724DF" w:rsidP="003724DF">
      <w:pPr>
        <w:pStyle w:val="Heading2"/>
      </w:pPr>
      <w:r w:rsidRPr="00AD2663">
        <w:t>Proactive Compliance Strategies</w:t>
      </w:r>
    </w:p>
    <w:p w14:paraId="4B862D27" w14:textId="77777777" w:rsidR="003724DF" w:rsidRPr="00AD2663" w:rsidRDefault="003724DF" w:rsidP="003724DF">
      <w:pPr>
        <w:pStyle w:val="Heading3"/>
      </w:pPr>
      <w:r w:rsidRPr="00AD2663">
        <w:t>Engag</w:t>
      </w:r>
      <w:r>
        <w:t>ing</w:t>
      </w:r>
      <w:r w:rsidRPr="00AD2663">
        <w:t xml:space="preserve"> with regulators early</w:t>
      </w:r>
    </w:p>
    <w:p w14:paraId="757F1EC9" w14:textId="77777777" w:rsidR="003724DF" w:rsidRDefault="003724DF" w:rsidP="003724DF">
      <w:r>
        <w:t>Compliance teams</w:t>
      </w:r>
      <w:r w:rsidRPr="00AD2663">
        <w:t xml:space="preserve"> should </w:t>
      </w:r>
      <w:r>
        <w:t>endeavor to</w:t>
      </w:r>
      <w:r w:rsidRPr="00AD2663">
        <w:t xml:space="preserve"> engage </w:t>
      </w:r>
      <w:r>
        <w:t>regulatory authorities</w:t>
      </w:r>
      <w:r w:rsidRPr="00AD2663">
        <w:t xml:space="preserve"> at the earliest opportunity</w:t>
      </w:r>
      <w:r>
        <w:t>. This way, they can get sufficient time and leeway to address any concerns that arise</w:t>
      </w:r>
      <w:r w:rsidRPr="00AD2663">
        <w:t xml:space="preserve">. </w:t>
      </w:r>
    </w:p>
    <w:p w14:paraId="28CCFB42" w14:textId="77777777" w:rsidR="003724DF" w:rsidRPr="00AD2663" w:rsidRDefault="003724DF" w:rsidP="003724DF">
      <w:pPr>
        <w:rPr>
          <w:color w:val="002060"/>
        </w:rPr>
      </w:pPr>
      <w:r w:rsidRPr="00806CA8">
        <w:t>In addition, companies need to properly educate regulators on their offerings, breadth of operations, internal controls, and other risk management measures. Cultivating a positive regulatory relationship sets the tone and well-positions stakeholders to contribute</w:t>
      </w:r>
      <w:r w:rsidRPr="00AD2663">
        <w:t xml:space="preserve"> to formulating guidelines.</w:t>
      </w:r>
    </w:p>
    <w:p w14:paraId="5ACFDEBA" w14:textId="77777777" w:rsidR="003724DF" w:rsidRPr="008F5DD5" w:rsidRDefault="003724DF" w:rsidP="003724DF">
      <w:pPr>
        <w:pStyle w:val="Heading3"/>
      </w:pPr>
      <w:r w:rsidRPr="00AD2663">
        <w:t>Conduct</w:t>
      </w:r>
      <w:r>
        <w:t xml:space="preserve">ing </w:t>
      </w:r>
      <w:r w:rsidRPr="00AD2663">
        <w:t>regular audits and on-chain monitoring</w:t>
      </w:r>
    </w:p>
    <w:p w14:paraId="73A077E8" w14:textId="77777777" w:rsidR="003724DF" w:rsidRPr="00E67AEA" w:rsidRDefault="003724DF" w:rsidP="003724DF">
      <w:r>
        <w:t xml:space="preserve">Financial institutions should, at the minimum, </w:t>
      </w:r>
      <w:r w:rsidRPr="00AD2663">
        <w:t xml:space="preserve">maintain the ability to mitigate crime risks impacting their </w:t>
      </w:r>
      <w:r w:rsidRPr="00E67AEA">
        <w:t>offerings. Routine audits help identify potential risks, such as security vulnerabilities and smart contract flaws. In addition to pinpointing issues in compliance programs, audits help demonstrate the effectiveness of implemented strategies.</w:t>
      </w:r>
      <w:r w:rsidRPr="00F345EF">
        <w:rPr>
          <w:color w:val="002060"/>
        </w:rPr>
        <w:t xml:space="preserve"> </w:t>
      </w:r>
    </w:p>
    <w:p w14:paraId="6E250686" w14:textId="77777777" w:rsidR="003724DF" w:rsidRPr="00AD2663" w:rsidRDefault="003724DF" w:rsidP="003724DF">
      <w:pPr>
        <w:pStyle w:val="Heading2"/>
      </w:pPr>
      <w:r w:rsidRPr="00AD2663">
        <w:t>Leveraging Blockchain Compliance Companies</w:t>
      </w:r>
    </w:p>
    <w:p w14:paraId="1D783DA4" w14:textId="77777777" w:rsidR="003724DF" w:rsidRPr="005F6384" w:rsidRDefault="003724DF" w:rsidP="003724DF">
      <w:pPr>
        <w:rPr>
          <w:color w:val="002060"/>
        </w:rPr>
      </w:pPr>
      <w:r>
        <w:t>Blockchain c</w:t>
      </w:r>
      <w:r w:rsidRPr="00AD2663">
        <w:t xml:space="preserve">ompliance </w:t>
      </w:r>
      <w:r>
        <w:t>companies</w:t>
      </w:r>
      <w:r w:rsidRPr="00AD2663">
        <w:t xml:space="preserve"> </w:t>
      </w:r>
      <w:r>
        <w:t>offer tools and</w:t>
      </w:r>
      <w:r w:rsidRPr="00AD2663">
        <w:t xml:space="preserve"> services tailored </w:t>
      </w:r>
      <w:r>
        <w:t>for entities</w:t>
      </w:r>
      <w:r w:rsidRPr="00AD2663">
        <w:t xml:space="preserve"> </w:t>
      </w:r>
      <w:r>
        <w:t>looking to</w:t>
      </w:r>
      <w:r w:rsidRPr="00AD2663">
        <w:t xml:space="preserve"> satisfy regulatory </w:t>
      </w:r>
      <w:r w:rsidRPr="00295BDA">
        <w:t xml:space="preserve">requirements and remain compliant. These solutions have different features, DeFi coverage, and pricing hence the need to evaluate them carefully against specific compliance needs. </w:t>
      </w:r>
      <w:r w:rsidRPr="00295BDA">
        <w:lastRenderedPageBreak/>
        <w:t>Hacken, Elliptic, Chainalysis, and TRM Labs are some of the leading blockchain analytics and investigative solutions providers.</w:t>
      </w:r>
    </w:p>
    <w:p w14:paraId="28E172E7" w14:textId="77777777" w:rsidR="003724DF" w:rsidRDefault="003724DF" w:rsidP="003724DF">
      <w:pPr>
        <w:pStyle w:val="Heading1"/>
      </w:pPr>
      <w:r w:rsidRPr="00AD2663">
        <w:t>Blockchain Regulatory Compliance Tools and Technology</w:t>
      </w:r>
    </w:p>
    <w:p w14:paraId="6C01D5D7" w14:textId="77777777" w:rsidR="003724DF" w:rsidRPr="00BB3405" w:rsidRDefault="003724DF" w:rsidP="003724DF">
      <w:pPr>
        <w:rPr>
          <w:color w:val="002060"/>
        </w:rPr>
      </w:pPr>
      <w:r w:rsidRPr="00AB2F67">
        <w:t xml:space="preserve">Growing </w:t>
      </w:r>
      <w:r w:rsidRPr="00EF18BC">
        <w:t>regulatory complexity, increasing cybersecurity threats, and rising penalties for non-</w:t>
      </w:r>
      <w:r w:rsidRPr="00BB3405">
        <w:t>compliance have highlighted the crucial role of regulatory technology that automates processes like analysis and reporting. Compliance tools not only reduce human errors but also help manage costs</w:t>
      </w:r>
      <w:r>
        <w:t xml:space="preserve"> involved</w:t>
      </w:r>
      <w:r w:rsidRPr="00BB3405">
        <w:t>.</w:t>
      </w:r>
    </w:p>
    <w:p w14:paraId="1D7595B7" w14:textId="77777777" w:rsidR="003724DF" w:rsidRPr="00D200BC" w:rsidRDefault="003724DF" w:rsidP="003724DF">
      <w:pPr>
        <w:pStyle w:val="Heading2"/>
      </w:pPr>
      <w:r w:rsidRPr="00AD2663">
        <w:t>On-Chain Monitoring Tools</w:t>
      </w:r>
    </w:p>
    <w:p w14:paraId="42FD43A7" w14:textId="77777777" w:rsidR="003724DF" w:rsidRDefault="003724DF" w:rsidP="003724DF">
      <w:r>
        <w:t xml:space="preserve">Monitoring tools help compliance teams </w:t>
      </w:r>
      <w:r w:rsidRPr="00AD2663">
        <w:t>screen transactions or wallets, flag potential risks, and generate reports for compliance purposes. Hacken Extractor is one such powerful solution equipped to support blockchain project</w:t>
      </w:r>
      <w:r>
        <w:t xml:space="preserve"> team</w:t>
      </w:r>
      <w:r w:rsidRPr="00AD2663">
        <w:t xml:space="preserve">s and regulators in strengthening security posture and streamlining compliance efforts. </w:t>
      </w:r>
    </w:p>
    <w:p w14:paraId="09194406" w14:textId="77777777" w:rsidR="003724DF" w:rsidRDefault="003724DF" w:rsidP="003724DF">
      <w:r w:rsidRPr="00AD2663">
        <w:t xml:space="preserve">Hacken </w:t>
      </w:r>
      <w:proofErr w:type="gramStart"/>
      <w:r w:rsidRPr="00AD2663">
        <w:t>Extractor</w:t>
      </w:r>
      <w:r>
        <w:t>‘</w:t>
      </w:r>
      <w:proofErr w:type="gramEnd"/>
      <w:r>
        <w:t xml:space="preserve">s </w:t>
      </w:r>
      <w:r w:rsidRPr="00AD2663">
        <w:t>capabilities include advanced 24/7</w:t>
      </w:r>
      <w:r w:rsidRPr="00AD2663">
        <w:rPr>
          <w:b/>
          <w:bCs/>
        </w:rPr>
        <w:t xml:space="preserve"> </w:t>
      </w:r>
      <w:r w:rsidRPr="00AD2663">
        <w:t>real-time monitoring, AI-enabled alerts on potential attacks, and built-in protection mechanisms through predefined response plans.</w:t>
      </w:r>
      <w:r>
        <w:t xml:space="preserve"> Its </w:t>
      </w:r>
      <w:r w:rsidRPr="00AD2663">
        <w:t>user-friendly and self-service platform also provides customizable protection features to meet specific needs.</w:t>
      </w:r>
    </w:p>
    <w:p w14:paraId="2953524D" w14:textId="77777777" w:rsidR="003724DF" w:rsidRDefault="003724DF" w:rsidP="003724DF">
      <w:r>
        <w:t xml:space="preserve">Other leading providers, such as Chainalysis and Elliptic, also offer robust solution suites that </w:t>
      </w:r>
      <w:r w:rsidRPr="00AD2663">
        <w:t>includ</w:t>
      </w:r>
      <w:r>
        <w:t>e</w:t>
      </w:r>
      <w:r w:rsidRPr="00AD2663">
        <w:t xml:space="preserve"> transaction monitoring, forensic investigation, and wallet screening tools.</w:t>
      </w:r>
    </w:p>
    <w:p w14:paraId="7C892FAE" w14:textId="77777777" w:rsidR="003724DF" w:rsidRPr="00AD2663" w:rsidRDefault="003724DF" w:rsidP="003724DF">
      <w:pPr>
        <w:pStyle w:val="Heading2"/>
      </w:pPr>
      <w:r w:rsidRPr="00AD2663">
        <w:t>Blockchain Security Enhancements</w:t>
      </w:r>
    </w:p>
    <w:p w14:paraId="35F73301" w14:textId="77777777" w:rsidR="003724DF" w:rsidRPr="00D42C23" w:rsidRDefault="003724DF" w:rsidP="003724DF">
      <w:r w:rsidRPr="00264ABE">
        <w:t xml:space="preserve">Strong encryption techniques, secure wallets, and regular security audits streamline compliance, helping satisfy regulatory expectations. </w:t>
      </w:r>
      <w:r>
        <w:t>An effective incident response plan consisting</w:t>
      </w:r>
      <w:r w:rsidRPr="00264ABE">
        <w:t xml:space="preserve"> </w:t>
      </w:r>
      <w:r w:rsidRPr="0038766D">
        <w:t>real-time risk assessment</w:t>
      </w:r>
      <w:r>
        <w:t xml:space="preserve">, </w:t>
      </w:r>
      <w:r w:rsidRPr="00264ABE">
        <w:t xml:space="preserve">rapid </w:t>
      </w:r>
      <w:r>
        <w:t xml:space="preserve">fraud </w:t>
      </w:r>
      <w:r w:rsidRPr="00264ABE">
        <w:t xml:space="preserve">detection and timely intervention can </w:t>
      </w:r>
      <w:r>
        <w:t xml:space="preserve">help minimize the impact of </w:t>
      </w:r>
      <w:r w:rsidRPr="00264ABE">
        <w:t>risks.</w:t>
      </w:r>
    </w:p>
    <w:p w14:paraId="676C6C87" w14:textId="77777777" w:rsidR="003724DF" w:rsidRPr="00AD2663" w:rsidRDefault="003724DF" w:rsidP="003724DF">
      <w:pPr>
        <w:pStyle w:val="Heading1"/>
      </w:pPr>
      <w:r w:rsidRPr="00AD2663">
        <w:t>Future Trends in Blockchain Regulatory Compliance</w:t>
      </w:r>
    </w:p>
    <w:p w14:paraId="458C559A" w14:textId="77777777" w:rsidR="003724DF" w:rsidRDefault="003724DF" w:rsidP="003724DF">
      <w:pPr>
        <w:pStyle w:val="Heading2"/>
      </w:pPr>
      <w:r w:rsidRPr="00AD2663">
        <w:t>Evolution of Blockchain Law</w:t>
      </w:r>
    </w:p>
    <w:p w14:paraId="33BCD7A0" w14:textId="77777777" w:rsidR="003724DF" w:rsidRPr="00EA5BA5" w:rsidRDefault="003724DF" w:rsidP="003724DF">
      <w:pPr>
        <w:pStyle w:val="Heading3"/>
        <w:rPr>
          <w:lang w:val="en"/>
        </w:rPr>
      </w:pPr>
      <w:r w:rsidRPr="00EA5BA5">
        <w:rPr>
          <w:lang w:val="en"/>
        </w:rPr>
        <w:t>Emerging focus areas like DeFi, NFTs, and CBDCs</w:t>
      </w:r>
    </w:p>
    <w:p w14:paraId="6EA8F76E" w14:textId="77777777" w:rsidR="003724DF" w:rsidRDefault="003724DF" w:rsidP="003724DF">
      <w:r>
        <w:t>The rise of</w:t>
      </w:r>
      <w:r w:rsidRPr="00AD2663">
        <w:t xml:space="preserve"> decentralized finance</w:t>
      </w:r>
      <w:r>
        <w:t xml:space="preserve">, </w:t>
      </w:r>
      <w:r w:rsidRPr="00AD2663">
        <w:t>non-fungible tokens,</w:t>
      </w:r>
      <w:r>
        <w:t xml:space="preserve"> and other niches has</w:t>
      </w:r>
      <w:r w:rsidRPr="00AD2663">
        <w:t xml:space="preserve"> drawn more users</w:t>
      </w:r>
      <w:r>
        <w:t xml:space="preserve"> to the Web3 sp</w:t>
      </w:r>
      <w:r w:rsidRPr="008A21B7">
        <w:t>ace. These use cases have further elevated blockchain to the forefront of global market discussions.</w:t>
      </w:r>
    </w:p>
    <w:p w14:paraId="63291CC9" w14:textId="77777777" w:rsidR="003724DF" w:rsidRPr="008A21B7" w:rsidRDefault="003724DF" w:rsidP="003724DF">
      <w:r w:rsidRPr="008A21B7">
        <w:t xml:space="preserve">Consequently, more statutory guidance and legal rules targeting these niches are expected in the coming years as emerging use cases see more adoption. Enforcement efforts are </w:t>
      </w:r>
      <w:r>
        <w:t>equally set</w:t>
      </w:r>
      <w:r w:rsidRPr="008A21B7">
        <w:t xml:space="preserve"> to increase as the enforcement reach grows.</w:t>
      </w:r>
    </w:p>
    <w:p w14:paraId="3B424587" w14:textId="77777777" w:rsidR="003724DF" w:rsidRPr="00AD2663" w:rsidRDefault="003724DF" w:rsidP="003724DF">
      <w:pPr>
        <w:pStyle w:val="Heading3"/>
      </w:pPr>
      <w:r w:rsidRPr="00AD2663">
        <w:t>Predictions for regulatory changes in significant regions</w:t>
      </w:r>
    </w:p>
    <w:p w14:paraId="78722534" w14:textId="77777777" w:rsidR="003724DF" w:rsidRDefault="003724DF" w:rsidP="003724DF">
      <w:pPr>
        <w:rPr>
          <w:color w:val="7030A0"/>
        </w:rPr>
      </w:pPr>
      <w:r w:rsidRPr="008A21B7">
        <w:t xml:space="preserve">In light of the Republican sweep of the 2024 US elections, there are elevated expectations for a well-defined and above-board regulatory framework under President-elect Trump. </w:t>
      </w:r>
      <w:r w:rsidRPr="00AD2663">
        <w:t xml:space="preserve">Perhaps indicative of </w:t>
      </w:r>
      <w:r>
        <w:t>a regulatory shift</w:t>
      </w:r>
      <w:r w:rsidRPr="00AD2663">
        <w:t>, SEC chairman Gary Gensler communicated his resignation this month and will leave office in January.</w:t>
      </w:r>
    </w:p>
    <w:p w14:paraId="4E0A41F0" w14:textId="77777777" w:rsidR="003724DF" w:rsidRDefault="003724DF" w:rsidP="003724DF">
      <w:pPr>
        <w:rPr>
          <w:color w:val="7030A0"/>
        </w:rPr>
      </w:pPr>
      <w:r w:rsidRPr="008A21B7">
        <w:t>Trump previously said that he would establish a new council to advise on crypto policy at the Bitcoin 2024 Conference.</w:t>
      </w:r>
      <w:r w:rsidRPr="008B5359">
        <w:rPr>
          <w:color w:val="7030A0"/>
        </w:rPr>
        <w:t xml:space="preserve"> </w:t>
      </w:r>
      <w:r>
        <w:t>His</w:t>
      </w:r>
      <w:r w:rsidRPr="008B5359">
        <w:t xml:space="preserve"> administration includes some crypto-friendly nominees and appointees in key positions, including SEC Chair and Treasury Secretary. The administration also established the first White House crypto role to coordinate government-wide digital asset policy and regulation</w:t>
      </w:r>
      <w:r>
        <w:t xml:space="preserve"> initiatives</w:t>
      </w:r>
      <w:r w:rsidRPr="00AD2663">
        <w:rPr>
          <w:color w:val="7030A0"/>
        </w:rPr>
        <w:t>.</w:t>
      </w:r>
      <w:r>
        <w:rPr>
          <w:color w:val="7030A0"/>
        </w:rPr>
        <w:t xml:space="preserve"> </w:t>
      </w:r>
    </w:p>
    <w:p w14:paraId="7A906C60" w14:textId="77777777" w:rsidR="003724DF" w:rsidRDefault="003724DF" w:rsidP="003724DF">
      <w:r>
        <w:t>T</w:t>
      </w:r>
      <w:r w:rsidRPr="003200AB">
        <w:t>he newly-selected</w:t>
      </w:r>
      <w:r>
        <w:t xml:space="preserve"> (link to voting)</w:t>
      </w:r>
      <w:r w:rsidRPr="003200AB">
        <w:t xml:space="preserve"> House Financial Services Committee Chair </w:t>
      </w:r>
      <w:hyperlink r:id="rId18" w:history="1">
        <w:r w:rsidRPr="00BD1D9A">
          <w:rPr>
            <w:rStyle w:val="Hyperlink"/>
          </w:rPr>
          <w:t>remarked</w:t>
        </w:r>
      </w:hyperlink>
      <w:r>
        <w:t xml:space="preserve"> in December that formulation of </w:t>
      </w:r>
      <w:r w:rsidRPr="003200AB">
        <w:t>digital assets</w:t>
      </w:r>
      <w:r>
        <w:t xml:space="preserve"> rules</w:t>
      </w:r>
      <w:r w:rsidRPr="003200AB">
        <w:t xml:space="preserve"> will be a priority for</w:t>
      </w:r>
      <w:r>
        <w:t xml:space="preserve"> the incoming administration</w:t>
      </w:r>
      <w:r w:rsidRPr="003200AB">
        <w:t xml:space="preserve"> </w:t>
      </w:r>
      <w:r>
        <w:t>i</w:t>
      </w:r>
      <w:r w:rsidRPr="003200AB">
        <w:t>n the new year</w:t>
      </w:r>
      <w:r>
        <w:t xml:space="preserve"> </w:t>
      </w:r>
      <w:r w:rsidRPr="003200AB">
        <w:t xml:space="preserve">as </w:t>
      </w:r>
      <w:r>
        <w:t>it seeks</w:t>
      </w:r>
      <w:r w:rsidRPr="003200AB">
        <w:t xml:space="preserve"> </w:t>
      </w:r>
      <w:r>
        <w:t xml:space="preserve">to establish </w:t>
      </w:r>
      <w:r w:rsidRPr="003200AB">
        <w:t>a regulatory framework in the first 100 days.</w:t>
      </w:r>
    </w:p>
    <w:p w14:paraId="119A9710" w14:textId="77777777" w:rsidR="003724DF" w:rsidRDefault="003724DF" w:rsidP="003724DF">
      <w:r w:rsidRPr="003200AB">
        <w:t>President-elect Donald Trump announced that Bo Hines</w:t>
      </w:r>
      <w:r>
        <w:t xml:space="preserve"> </w:t>
      </w:r>
      <w:r w:rsidRPr="003200AB">
        <w:t>to lead his “Crypto Council” as the Executive Director of the Presidential Council of Advisers for Digital Assets. </w:t>
      </w:r>
      <w:r>
        <w:t>(</w:t>
      </w:r>
      <w:r w:rsidRPr="003200AB">
        <w:t xml:space="preserve">Trump </w:t>
      </w:r>
      <w:r>
        <w:t>nomination message link)</w:t>
      </w:r>
      <w:r w:rsidRPr="003200AB">
        <w:t>.</w:t>
      </w:r>
      <w:r w:rsidRPr="00C201DE">
        <w:t xml:space="preserve"> </w:t>
      </w:r>
    </w:p>
    <w:p w14:paraId="72A201C6" w14:textId="77777777" w:rsidR="003724DF" w:rsidRDefault="003724DF" w:rsidP="003724DF">
      <w:r w:rsidRPr="003200AB">
        <w:t xml:space="preserve">Trump had previously </w:t>
      </w:r>
      <w:r w:rsidRPr="00215152">
        <w:t>appointed David Sacks</w:t>
      </w:r>
      <w:r>
        <w:t xml:space="preserve"> (link)</w:t>
      </w:r>
      <w:r w:rsidRPr="003200AB">
        <w:t xml:space="preserve"> to spearhead crypto and AI </w:t>
      </w:r>
      <w:r>
        <w:t>policy</w:t>
      </w:r>
      <w:r w:rsidRPr="003200AB">
        <w:t xml:space="preserve"> </w:t>
      </w:r>
      <w:r>
        <w:t xml:space="preserve">in the </w:t>
      </w:r>
      <w:r w:rsidRPr="00872B33">
        <w:t>Crypto Czar</w:t>
      </w:r>
      <w:r w:rsidRPr="006441FA">
        <w:t xml:space="preserve"> role </w:t>
      </w:r>
      <w:r w:rsidRPr="003200AB">
        <w:t>at the White House.</w:t>
      </w:r>
    </w:p>
    <w:p w14:paraId="4C2AF547" w14:textId="77777777" w:rsidR="003724DF" w:rsidRPr="00C201DE" w:rsidRDefault="003724DF" w:rsidP="003724DF">
      <w:r>
        <w:t>Some industry executives (link to</w:t>
      </w:r>
      <w:r w:rsidRPr="00CD434C">
        <w:t xml:space="preserve"> </w:t>
      </w:r>
      <w:r w:rsidRPr="006441FA">
        <w:t>Coinbase's Vice President of International Policy</w:t>
      </w:r>
      <w:r w:rsidRPr="00CD434C">
        <w:t xml:space="preserve"> </w:t>
      </w:r>
      <w:r w:rsidRPr="006441FA">
        <w:t>Tom Duff Gordon</w:t>
      </w:r>
      <w:r>
        <w:t xml:space="preserve"> remarks in the</w:t>
      </w:r>
      <w:r w:rsidRPr="00D4088C">
        <w:t xml:space="preserve"> </w:t>
      </w:r>
      <w:r w:rsidRPr="006441FA">
        <w:t>Navigating Crypto's Regulatory Seas: Compliance, Challenges, and Innovation</w:t>
      </w:r>
      <w:r>
        <w:t xml:space="preserve"> panel discussion) also forecast </w:t>
      </w:r>
      <w:r w:rsidRPr="006441FA">
        <w:t xml:space="preserve">Trump's crypto agenda </w:t>
      </w:r>
      <w:r>
        <w:t>to</w:t>
      </w:r>
      <w:r w:rsidRPr="006441FA">
        <w:t xml:space="preserve"> spur</w:t>
      </w:r>
      <w:r>
        <w:t xml:space="preserve"> digital asset</w:t>
      </w:r>
      <w:r w:rsidRPr="006441FA">
        <w:t xml:space="preserve"> regulat</w:t>
      </w:r>
      <w:r>
        <w:t>ory initiatives in other jurisdictions around the world.</w:t>
      </w:r>
    </w:p>
    <w:p w14:paraId="27107172" w14:textId="77777777" w:rsidR="003724DF" w:rsidRDefault="003724DF" w:rsidP="003724DF">
      <w:r w:rsidRPr="00AD2663">
        <w:t>Various pieces of legislation have been introduced in other countries and are at different</w:t>
      </w:r>
      <w:r>
        <w:t xml:space="preserve"> progression</w:t>
      </w:r>
      <w:r w:rsidRPr="00AD2663">
        <w:t xml:space="preserve"> stages.</w:t>
      </w:r>
    </w:p>
    <w:p w14:paraId="3CDCF549" w14:textId="77777777" w:rsidR="003724DF" w:rsidRPr="00AD2663" w:rsidRDefault="003724DF" w:rsidP="003724DF">
      <w:r>
        <w:lastRenderedPageBreak/>
        <w:t xml:space="preserve">In the </w:t>
      </w:r>
      <w:r w:rsidRPr="002F57E1">
        <w:t>UK</w:t>
      </w:r>
      <w:r>
        <w:t>, members of the U</w:t>
      </w:r>
      <w:r w:rsidRPr="002F57E1">
        <w:t xml:space="preserve">pper </w:t>
      </w:r>
      <w:r>
        <w:t>H</w:t>
      </w:r>
      <w:r w:rsidRPr="002F57E1">
        <w:t>ouse of Parliament</w:t>
      </w:r>
      <w:r>
        <w:t xml:space="preserve"> backed</w:t>
      </w:r>
      <w:r w:rsidRPr="002F57E1">
        <w:t xml:space="preserve"> </w:t>
      </w:r>
      <w:r>
        <w:t>the</w:t>
      </w:r>
      <w:r w:rsidRPr="002F57E1">
        <w:t xml:space="preserve"> Digital Assets Property </w:t>
      </w:r>
      <w:r>
        <w:t xml:space="preserve">Bill </w:t>
      </w:r>
      <w:r w:rsidRPr="002F57E1">
        <w:t>drafted by the Law Commission at its second reading.</w:t>
      </w:r>
      <w:r w:rsidRPr="005123B5">
        <w:t xml:space="preserve"> </w:t>
      </w:r>
      <w:r>
        <w:t xml:space="preserve">The bill which was introduced </w:t>
      </w:r>
      <w:r w:rsidRPr="002F57E1">
        <w:t>in September</w:t>
      </w:r>
      <w:r>
        <w:t xml:space="preserve"> (link) seeks to address some murky areas</w:t>
      </w:r>
      <w:r w:rsidRPr="005123B5">
        <w:t xml:space="preserve"> </w:t>
      </w:r>
      <w:r>
        <w:t xml:space="preserve">specifically </w:t>
      </w:r>
      <w:r w:rsidRPr="002F57E1">
        <w:t>in terms of how crypto is treated by the legal system</w:t>
      </w:r>
      <w:r>
        <w:t>.</w:t>
      </w:r>
    </w:p>
    <w:p w14:paraId="03BAC751" w14:textId="77777777" w:rsidR="003724DF" w:rsidRDefault="003724DF" w:rsidP="003724DF">
      <w:r>
        <w:rPr>
          <w:color w:val="7030A0"/>
        </w:rPr>
        <w:t>In November</w:t>
      </w:r>
      <w:r w:rsidRPr="00AD2663">
        <w:rPr>
          <w:color w:val="7030A0"/>
        </w:rPr>
        <w:t xml:space="preserve">, the </w:t>
      </w:r>
      <w:r w:rsidRPr="001A295C">
        <w:rPr>
          <w:color w:val="002060"/>
        </w:rPr>
        <w:t>Economic Secretary to the Treasury</w:t>
      </w:r>
      <w:r w:rsidRPr="001A295C">
        <w:t xml:space="preserve"> </w:t>
      </w:r>
      <w:r>
        <w:t xml:space="preserve">of the UK, </w:t>
      </w:r>
      <w:r w:rsidRPr="001A295C">
        <w:t>Tulip Siddiq</w:t>
      </w:r>
      <w:r>
        <w:t>,</w:t>
      </w:r>
      <w:r w:rsidRPr="001A295C">
        <w:t xml:space="preserve"> </w:t>
      </w:r>
      <w:hyperlink r:id="rId19" w:history="1">
        <w:r w:rsidRPr="007C1B4E">
          <w:rPr>
            <w:rStyle w:val="Hyperlink"/>
          </w:rPr>
          <w:t>affirmed</w:t>
        </w:r>
      </w:hyperlink>
      <w:r w:rsidRPr="00AD2663">
        <w:rPr>
          <w:color w:val="7030A0"/>
        </w:rPr>
        <w:t xml:space="preserve"> </w:t>
      </w:r>
      <w:r>
        <w:rPr>
          <w:color w:val="7030A0"/>
        </w:rPr>
        <w:t>intentions</w:t>
      </w:r>
      <w:r w:rsidRPr="00AD2663">
        <w:rPr>
          <w:color w:val="7030A0"/>
        </w:rPr>
        <w:t xml:space="preserve"> to progress with </w:t>
      </w:r>
      <w:r>
        <w:rPr>
          <w:color w:val="7030A0"/>
        </w:rPr>
        <w:t>an</w:t>
      </w:r>
      <w:r w:rsidRPr="00AD2663">
        <w:rPr>
          <w:color w:val="7030A0"/>
        </w:rPr>
        <w:t xml:space="preserve"> all-encompassing regulatory framework for crypto assets in 2025. The draft legislation w</w:t>
      </w:r>
      <w:r>
        <w:rPr>
          <w:color w:val="7030A0"/>
        </w:rPr>
        <w:t xml:space="preserve">as already a subject of discussion under the previous government but saw </w:t>
      </w:r>
      <w:r w:rsidRPr="00AD2663">
        <w:rPr>
          <w:color w:val="7030A0"/>
        </w:rPr>
        <w:t>delay</w:t>
      </w:r>
      <w:r>
        <w:rPr>
          <w:color w:val="7030A0"/>
        </w:rPr>
        <w:t>s</w:t>
      </w:r>
      <w:r w:rsidRPr="00AD2663">
        <w:rPr>
          <w:color w:val="7030A0"/>
        </w:rPr>
        <w:t xml:space="preserve"> </w:t>
      </w:r>
      <w:r>
        <w:rPr>
          <w:color w:val="7030A0"/>
        </w:rPr>
        <w:t>because of</w:t>
      </w:r>
      <w:r w:rsidRPr="00AD2663">
        <w:rPr>
          <w:color w:val="7030A0"/>
        </w:rPr>
        <w:t xml:space="preserve"> the July elections, which the </w:t>
      </w:r>
      <w:r>
        <w:rPr>
          <w:color w:val="7030A0"/>
        </w:rPr>
        <w:t xml:space="preserve">Conservative </w:t>
      </w:r>
      <w:r w:rsidRPr="00AD2663">
        <w:rPr>
          <w:color w:val="7030A0"/>
        </w:rPr>
        <w:t xml:space="preserve">Party </w:t>
      </w:r>
      <w:r>
        <w:rPr>
          <w:color w:val="7030A0"/>
        </w:rPr>
        <w:t>lost</w:t>
      </w:r>
      <w:r w:rsidRPr="00AD2663">
        <w:rPr>
          <w:color w:val="7030A0"/>
        </w:rPr>
        <w:t>.</w:t>
      </w:r>
      <w:r w:rsidRPr="00A63F25">
        <w:t xml:space="preserve"> </w:t>
      </w:r>
    </w:p>
    <w:p w14:paraId="2F7D2114" w14:textId="2946DAD9" w:rsidR="003724DF" w:rsidRDefault="003724DF" w:rsidP="003724DF">
      <w:pPr>
        <w:rPr>
          <w:color w:val="002060"/>
        </w:rPr>
      </w:pPr>
      <w:r>
        <w:rPr>
          <w:color w:val="002060"/>
        </w:rPr>
        <w:t xml:space="preserve">Reports suggest that the </w:t>
      </w:r>
      <w:r w:rsidR="00733323" w:rsidRPr="007C7B74">
        <w:rPr>
          <w:color w:val="002060"/>
        </w:rPr>
        <w:t>Labor</w:t>
      </w:r>
      <w:r>
        <w:rPr>
          <w:color w:val="002060"/>
        </w:rPr>
        <w:t xml:space="preserve"> Party </w:t>
      </w:r>
      <w:r w:rsidRPr="007C7B74">
        <w:rPr>
          <w:color w:val="002060"/>
        </w:rPr>
        <w:t xml:space="preserve">government </w:t>
      </w:r>
      <w:r>
        <w:rPr>
          <w:color w:val="002060"/>
        </w:rPr>
        <w:t>will</w:t>
      </w:r>
      <w:r w:rsidRPr="007C7B74">
        <w:rPr>
          <w:color w:val="002060"/>
        </w:rPr>
        <w:t xml:space="preserve"> proceed with the </w:t>
      </w:r>
      <w:r>
        <w:rPr>
          <w:color w:val="002060"/>
        </w:rPr>
        <w:t>previous</w:t>
      </w:r>
      <w:r w:rsidRPr="00A63F25">
        <w:rPr>
          <w:color w:val="002060"/>
        </w:rPr>
        <w:t xml:space="preserve"> </w:t>
      </w:r>
      <w:r w:rsidRPr="007C7B74">
        <w:rPr>
          <w:color w:val="002060"/>
        </w:rPr>
        <w:t xml:space="preserve">government’s </w:t>
      </w:r>
      <w:r>
        <w:rPr>
          <w:color w:val="002060"/>
        </w:rPr>
        <w:t xml:space="preserve">regulation </w:t>
      </w:r>
      <w:r w:rsidRPr="007C7B74">
        <w:rPr>
          <w:color w:val="002060"/>
        </w:rPr>
        <w:t xml:space="preserve">plans for </w:t>
      </w:r>
      <w:r>
        <w:rPr>
          <w:color w:val="002060"/>
        </w:rPr>
        <w:t>the sector</w:t>
      </w:r>
      <w:r w:rsidRPr="007C7B74">
        <w:rPr>
          <w:color w:val="002060"/>
        </w:rPr>
        <w:t xml:space="preserve"> with </w:t>
      </w:r>
      <w:r>
        <w:rPr>
          <w:color w:val="002060"/>
        </w:rPr>
        <w:t>few adjustments.</w:t>
      </w:r>
      <w:r w:rsidRPr="00A63F25">
        <w:t xml:space="preserve"> </w:t>
      </w:r>
      <w:r>
        <w:t>Notably, guidelines for stablecoins and other crypto-assets will be instituted at the same time as opposed to an initial proposal for a phased strategy. Siddiq also talked about a Digital Securities Sandbox, which aims to promote the</w:t>
      </w:r>
      <w:r w:rsidRPr="007C7B74">
        <w:rPr>
          <w:color w:val="002060"/>
        </w:rPr>
        <w:t xml:space="preserve"> responsible development of </w:t>
      </w:r>
      <w:r w:rsidRPr="00A67163">
        <w:rPr>
          <w:color w:val="002060"/>
        </w:rPr>
        <w:t>distributed ledger technology</w:t>
      </w:r>
      <w:r>
        <w:rPr>
          <w:color w:val="002060"/>
        </w:rPr>
        <w:t xml:space="preserve"> </w:t>
      </w:r>
      <w:r w:rsidRPr="007C7B74">
        <w:rPr>
          <w:color w:val="002060"/>
        </w:rPr>
        <w:t>products.</w:t>
      </w:r>
    </w:p>
    <w:p w14:paraId="6E6ACE03" w14:textId="18ED3B87" w:rsidR="003724DF" w:rsidRPr="002F57E1" w:rsidRDefault="004F23E9" w:rsidP="003724DF">
      <w:r>
        <w:t>Labor</w:t>
      </w:r>
      <w:r w:rsidR="003724DF">
        <w:t xml:space="preserve"> aim to </w:t>
      </w:r>
      <w:r w:rsidR="003724DF" w:rsidRPr="002F57E1">
        <w:t>creat</w:t>
      </w:r>
      <w:r w:rsidR="003724DF">
        <w:t>e</w:t>
      </w:r>
      <w:r w:rsidR="003724DF" w:rsidRPr="002F57E1">
        <w:t xml:space="preserve"> a new authorization regime for crypto companies </w:t>
      </w:r>
      <w:r w:rsidR="003724DF">
        <w:t>after taking</w:t>
      </w:r>
      <w:r w:rsidR="003724DF" w:rsidRPr="005123B5">
        <w:t xml:space="preserve"> over</w:t>
      </w:r>
      <w:r w:rsidR="003724DF" w:rsidRPr="002F57E1">
        <w:t xml:space="preserve"> from the crypto friendly Conservatives.</w:t>
      </w:r>
      <w:r w:rsidR="003724DF" w:rsidRPr="00335BBF">
        <w:t xml:space="preserve"> </w:t>
      </w:r>
      <w:r w:rsidR="003724DF" w:rsidRPr="002F57E1">
        <w:t>Economic Secretary Tulip Siddiq said in October th</w:t>
      </w:r>
      <w:r w:rsidR="003724DF">
        <w:t>at th</w:t>
      </w:r>
      <w:r w:rsidR="003724DF" w:rsidRPr="002F57E1">
        <w:t>e government ha</w:t>
      </w:r>
      <w:r w:rsidR="003724DF">
        <w:t>d</w:t>
      </w:r>
      <w:r w:rsidR="003724DF" w:rsidRPr="002F57E1">
        <w:t xml:space="preserve"> been reviewing the previous government's plans for crypto and</w:t>
      </w:r>
      <w:r w:rsidR="003724DF">
        <w:t xml:space="preserve"> </w:t>
      </w:r>
      <w:r w:rsidR="003724DF" w:rsidRPr="002F57E1">
        <w:t xml:space="preserve">will </w:t>
      </w:r>
      <w:r w:rsidR="003724DF">
        <w:t xml:space="preserve">deliver </w:t>
      </w:r>
      <w:r w:rsidR="003724DF" w:rsidRPr="002F57E1">
        <w:t>its policy programme for crypto assets soon</w:t>
      </w:r>
      <w:r w:rsidR="003724DF">
        <w:t>.</w:t>
      </w:r>
    </w:p>
    <w:p w14:paraId="126E2973" w14:textId="77777777" w:rsidR="003724DF" w:rsidRPr="007C1B4E" w:rsidRDefault="003724DF" w:rsidP="003724DF">
      <w:r>
        <w:t xml:space="preserve">In the UK, </w:t>
      </w:r>
      <w:r w:rsidRPr="002F57E1">
        <w:t xml:space="preserve">the Treasury and the Financial Conduct Authority </w:t>
      </w:r>
      <w:r>
        <w:t>have been</w:t>
      </w:r>
      <w:r w:rsidRPr="002F57E1">
        <w:t xml:space="preserve"> working on appropriate financial regulation of crypto assets.</w:t>
      </w:r>
    </w:p>
    <w:p w14:paraId="2738EB08" w14:textId="77777777" w:rsidR="003724DF" w:rsidRDefault="003724DF" w:rsidP="003724DF">
      <w:pPr>
        <w:rPr>
          <w:color w:val="002060"/>
        </w:rPr>
      </w:pPr>
      <w:r>
        <w:t xml:space="preserve">In a November </w:t>
      </w:r>
      <w:hyperlink r:id="rId20" w:history="1">
        <w:r w:rsidRPr="00DB090C">
          <w:rPr>
            <w:rStyle w:val="Hyperlink"/>
          </w:rPr>
          <w:t>blog</w:t>
        </w:r>
      </w:hyperlink>
      <w:r>
        <w:t>, t</w:t>
      </w:r>
      <w:r w:rsidRPr="00225046">
        <w:t xml:space="preserve">he </w:t>
      </w:r>
      <w:r w:rsidRPr="001A295C">
        <w:t xml:space="preserve">FCA </w:t>
      </w:r>
      <w:r w:rsidRPr="00DB090C">
        <w:t>outlined</w:t>
      </w:r>
      <w:r w:rsidRPr="00225046">
        <w:t xml:space="preserve"> its </w:t>
      </w:r>
      <w:r>
        <w:t xml:space="preserve">plans </w:t>
      </w:r>
      <w:r w:rsidRPr="00225046">
        <w:t xml:space="preserve">to introduce </w:t>
      </w:r>
      <w:r>
        <w:t>the</w:t>
      </w:r>
      <w:r w:rsidRPr="001A295C">
        <w:t xml:space="preserve"> new regulatory regime in 2026</w:t>
      </w:r>
      <w:r w:rsidRPr="00225046">
        <w:t xml:space="preserve"> following discussions with various </w:t>
      </w:r>
      <w:r>
        <w:t>stakeholders</w:t>
      </w:r>
      <w:r w:rsidRPr="00225046">
        <w:t xml:space="preserve">. </w:t>
      </w:r>
      <w:r>
        <w:rPr>
          <w:color w:val="002060"/>
        </w:rPr>
        <w:t xml:space="preserve">Per the FCA crypto </w:t>
      </w:r>
      <w:hyperlink r:id="rId21" w:history="1">
        <w:r w:rsidRPr="001A295C">
          <w:rPr>
            <w:rStyle w:val="Hyperlink"/>
          </w:rPr>
          <w:t>roadmap</w:t>
        </w:r>
      </w:hyperlink>
      <w:r w:rsidRPr="007976E9">
        <w:rPr>
          <w:color w:val="002060"/>
        </w:rPr>
        <w:t xml:space="preserve"> </w:t>
      </w:r>
      <w:r>
        <w:rPr>
          <w:color w:val="002060"/>
        </w:rPr>
        <w:t>highlighting k</w:t>
      </w:r>
      <w:r w:rsidRPr="001A295C">
        <w:rPr>
          <w:color w:val="002060"/>
        </w:rPr>
        <w:t>ey dates</w:t>
      </w:r>
      <w:r>
        <w:rPr>
          <w:color w:val="002060"/>
        </w:rPr>
        <w:t xml:space="preserve"> </w:t>
      </w:r>
      <w:r w:rsidRPr="001A295C">
        <w:rPr>
          <w:color w:val="002060"/>
        </w:rPr>
        <w:t>and milestones</w:t>
      </w:r>
      <w:r>
        <w:rPr>
          <w:color w:val="002060"/>
        </w:rPr>
        <w:t xml:space="preserve">, the regulator projects the </w:t>
      </w:r>
      <w:r w:rsidRPr="001A295C">
        <w:rPr>
          <w:color w:val="002060"/>
        </w:rPr>
        <w:t xml:space="preserve">legislation </w:t>
      </w:r>
      <w:r>
        <w:rPr>
          <w:color w:val="002060"/>
        </w:rPr>
        <w:t xml:space="preserve">to </w:t>
      </w:r>
      <w:r w:rsidRPr="001A295C">
        <w:rPr>
          <w:color w:val="002060"/>
        </w:rPr>
        <w:t>com</w:t>
      </w:r>
      <w:r>
        <w:rPr>
          <w:color w:val="002060"/>
        </w:rPr>
        <w:t>e</w:t>
      </w:r>
      <w:r w:rsidRPr="001A295C">
        <w:rPr>
          <w:color w:val="002060"/>
        </w:rPr>
        <w:t xml:space="preserve"> into force </w:t>
      </w:r>
      <w:r>
        <w:rPr>
          <w:color w:val="002060"/>
        </w:rPr>
        <w:t xml:space="preserve">in </w:t>
      </w:r>
      <w:r w:rsidRPr="001A295C">
        <w:rPr>
          <w:color w:val="002060"/>
        </w:rPr>
        <w:t>2026</w:t>
      </w:r>
      <w:r>
        <w:rPr>
          <w:color w:val="002060"/>
        </w:rPr>
        <w:t>.</w:t>
      </w:r>
    </w:p>
    <w:p w14:paraId="4D9D6BF8" w14:textId="77777777" w:rsidR="003724DF" w:rsidRPr="008B675A" w:rsidRDefault="003724DF" w:rsidP="003724DF">
      <w:r w:rsidRPr="008B675A">
        <w:t xml:space="preserve">In Australia, authorities have faced </w:t>
      </w:r>
      <w:hyperlink r:id="rId22" w:history="1">
        <w:r w:rsidRPr="008B675A">
          <w:rPr>
            <w:rStyle w:val="Hyperlink"/>
            <w:color w:val="auto"/>
          </w:rPr>
          <w:t>similar criticism</w:t>
        </w:r>
      </w:hyperlink>
      <w:r w:rsidRPr="008B675A">
        <w:t xml:space="preserve"> of regulating the digital assets space by enforcement without providing sufficient guidance. In October 2023, the Treasury published a </w:t>
      </w:r>
      <w:hyperlink r:id="rId23" w:history="1">
        <w:r w:rsidRPr="008B675A">
          <w:rPr>
            <w:rStyle w:val="Hyperlink"/>
            <w:color w:val="auto"/>
          </w:rPr>
          <w:t>proposal paper</w:t>
        </w:r>
      </w:hyperlink>
      <w:r w:rsidRPr="008B675A">
        <w:t xml:space="preserve"> seeking feedback on a framework constituting the licensing and custody principles for digital asset service providers. The scope of this proposed regulatory framework was updated in June 2024 to include a framework for governing stablecoins.</w:t>
      </w:r>
    </w:p>
    <w:p w14:paraId="2B43EFAC" w14:textId="77777777" w:rsidR="003724DF" w:rsidRPr="00AD2663" w:rsidRDefault="003724DF" w:rsidP="003724DF">
      <w:pPr>
        <w:pStyle w:val="Heading2"/>
      </w:pPr>
      <w:r w:rsidRPr="00AD2663">
        <w:t>Technological Innovations Supporting Compliance</w:t>
      </w:r>
    </w:p>
    <w:p w14:paraId="684E6682" w14:textId="77777777" w:rsidR="003724DF" w:rsidRPr="00AD2663" w:rsidRDefault="003724DF" w:rsidP="003724DF">
      <w:r>
        <w:t>Newer</w:t>
      </w:r>
      <w:r w:rsidRPr="00AD2663">
        <w:t xml:space="preserve"> technologies have shown promise in enhancing compliance by automating tasks and improving risk assessments through predictive analysis.</w:t>
      </w:r>
    </w:p>
    <w:p w14:paraId="22BF7EF1" w14:textId="77777777" w:rsidR="003724DF" w:rsidRPr="00AD2663" w:rsidRDefault="003724DF" w:rsidP="003724DF">
      <w:pPr>
        <w:pStyle w:val="Heading3"/>
      </w:pPr>
      <w:r w:rsidRPr="00AD2663">
        <w:t>AI</w:t>
      </w:r>
      <w:r>
        <w:t xml:space="preserve">/ML </w:t>
      </w:r>
      <w:r w:rsidRPr="00AD2663">
        <w:t>for predictive monitoring</w:t>
      </w:r>
    </w:p>
    <w:p w14:paraId="2775A4BD" w14:textId="77777777" w:rsidR="003724DF" w:rsidRDefault="003724DF" w:rsidP="003724DF">
      <w:r>
        <w:t xml:space="preserve">Artificial Intelligence </w:t>
      </w:r>
      <w:r w:rsidRPr="00AD2663">
        <w:t xml:space="preserve">has unlocked </w:t>
      </w:r>
      <w:r>
        <w:t>the power to</w:t>
      </w:r>
      <w:r w:rsidRPr="001F0576">
        <w:t xml:space="preserve"> shift </w:t>
      </w:r>
      <w:r>
        <w:t xml:space="preserve">the compliance approach </w:t>
      </w:r>
      <w:r w:rsidRPr="001F0576">
        <w:t>from reactive to proactive</w:t>
      </w:r>
      <w:r>
        <w:t>.</w:t>
      </w:r>
      <w:r w:rsidRPr="0045132B">
        <w:t xml:space="preserve"> </w:t>
      </w:r>
      <w:r>
        <w:t>The integration of m</w:t>
      </w:r>
      <w:r w:rsidRPr="00AD2663">
        <w:t xml:space="preserve">achine </w:t>
      </w:r>
      <w:r>
        <w:t>l</w:t>
      </w:r>
      <w:r w:rsidRPr="00AD2663">
        <w:t xml:space="preserve">earning </w:t>
      </w:r>
      <w:r>
        <w:t xml:space="preserve">in </w:t>
      </w:r>
      <w:r w:rsidRPr="00AD2663">
        <w:t>compliance management</w:t>
      </w:r>
      <w:r>
        <w:t xml:space="preserve"> has </w:t>
      </w:r>
      <w:r w:rsidRPr="00AD2663">
        <w:t>addressed limitations in manual compliance techniques</w:t>
      </w:r>
      <w:r>
        <w:t xml:space="preserve"> thanks to the ability of ML solutions </w:t>
      </w:r>
      <w:r w:rsidRPr="00AD2663">
        <w:t xml:space="preserve">to handle </w:t>
      </w:r>
      <w:r>
        <w:t>vast volumes of</w:t>
      </w:r>
      <w:r w:rsidRPr="00AD2663">
        <w:t xml:space="preserve"> data and quickly process </w:t>
      </w:r>
      <w:r>
        <w:t>information.</w:t>
      </w:r>
    </w:p>
    <w:p w14:paraId="673DC18C" w14:textId="77777777" w:rsidR="003724DF" w:rsidRPr="00C65E20" w:rsidRDefault="003724DF" w:rsidP="003724DF">
      <w:r>
        <w:t xml:space="preserve">Harnessing the power of AI in compliance yields benefits such as </w:t>
      </w:r>
      <w:r w:rsidRPr="00AD2663">
        <w:t xml:space="preserve">automated due diligence and </w:t>
      </w:r>
      <w:r>
        <w:t>prediction</w:t>
      </w:r>
      <w:r w:rsidRPr="00AD2663">
        <w:t xml:space="preserve"> of risks</w:t>
      </w:r>
      <w:r>
        <w:t xml:space="preserve"> or anomalies</w:t>
      </w:r>
      <w:r w:rsidRPr="00AD2663">
        <w:t xml:space="preserve"> that could lead to </w:t>
      </w:r>
      <w:r w:rsidRPr="001F0576">
        <w:rPr>
          <w:color w:val="002060"/>
        </w:rPr>
        <w:t>potential regulatory issues</w:t>
      </w:r>
      <w:r w:rsidRPr="00AD2663">
        <w:t>.</w:t>
      </w:r>
    </w:p>
    <w:p w14:paraId="4736FE5C" w14:textId="77777777" w:rsidR="003724DF" w:rsidRPr="00AD2663" w:rsidRDefault="003724DF" w:rsidP="003724DF">
      <w:pPr>
        <w:pStyle w:val="Heading3"/>
      </w:pPr>
      <w:r w:rsidRPr="00AD2663">
        <w:t>Decentralized identity solutions for seamless KYC</w:t>
      </w:r>
    </w:p>
    <w:p w14:paraId="23C8FBD8" w14:textId="77777777" w:rsidR="003724DF" w:rsidRPr="00AD2663" w:rsidRDefault="003724DF" w:rsidP="003724DF">
      <w:r w:rsidRPr="00AD2663">
        <w:t>Decentralized identity solutions provide an alternative approach to implementing Know-Your-Customer (KYC) controls.</w:t>
      </w:r>
    </w:p>
    <w:p w14:paraId="707260F0" w14:textId="77777777" w:rsidR="003724DF" w:rsidRPr="00AD2663" w:rsidRDefault="003724DF" w:rsidP="003724DF">
      <w:r w:rsidRPr="00AD2663">
        <w:t>Under this type of digital identity management, users initiate the process of obtaining verifiable credentials (VCs) using their digital wallets by creating digital identities and generating public-private key pairs. Trust issuers, upon receiving the request, verify the user's identity and generate a VC, which is sent to the user.</w:t>
      </w:r>
    </w:p>
    <w:p w14:paraId="6EFDBE5C" w14:textId="77777777" w:rsidR="003724DF" w:rsidRPr="00AD2663" w:rsidRDefault="003724DF" w:rsidP="003724DF">
      <w:r w:rsidRPr="00AD2663">
        <w:t xml:space="preserve">Decentralized identity solutions </w:t>
      </w:r>
      <w:r>
        <w:t>based on</w:t>
      </w:r>
      <w:r w:rsidRPr="00AD2663">
        <w:t xml:space="preserve"> blockchain have the potential to streamline KYC </w:t>
      </w:r>
      <w:r>
        <w:t>processes</w:t>
      </w:r>
      <w:r w:rsidRPr="00AD2663">
        <w:t>. Blockchain's immutable ledgers can store records of credential issuance and transfers, providing transparency and enhancing security. These blockchain-based decentralized solutions can integrate smart contracts programmed to automate verification processes, further enhancing functionality.</w:t>
      </w:r>
    </w:p>
    <w:p w14:paraId="177CD446" w14:textId="77777777" w:rsidR="003724DF" w:rsidRPr="00AD2663" w:rsidRDefault="003724DF" w:rsidP="003724DF">
      <w:pPr>
        <w:pStyle w:val="Heading1"/>
      </w:pPr>
      <w:r w:rsidRPr="00AD2663">
        <w:t>Conclusion: Building a Compliant Blockchain Ecosystem</w:t>
      </w:r>
    </w:p>
    <w:p w14:paraId="6703A967" w14:textId="41D3782A" w:rsidR="003724DF" w:rsidRDefault="003724DF" w:rsidP="003724DF">
      <w:r>
        <w:t>Achieving and maintaining c</w:t>
      </w:r>
      <w:r w:rsidRPr="00AD2663">
        <w:t>ompliance is a</w:t>
      </w:r>
      <w:r>
        <w:t xml:space="preserve"> continuous exercise</w:t>
      </w:r>
      <w:r w:rsidRPr="00AD2663">
        <w:t xml:space="preserve">, not a one-time </w:t>
      </w:r>
      <w:r>
        <w:t>undertaking</w:t>
      </w:r>
      <w:r w:rsidRPr="00AD2663">
        <w:t xml:space="preserve">. Keeping this in mind, </w:t>
      </w:r>
      <w:r>
        <w:t>blockchain-involved companies</w:t>
      </w:r>
      <w:r w:rsidRPr="00AD2663">
        <w:t xml:space="preserve"> must work around</w:t>
      </w:r>
      <w:r>
        <w:t xml:space="preserve"> existing</w:t>
      </w:r>
      <w:r w:rsidRPr="00AD2663">
        <w:t xml:space="preserve"> </w:t>
      </w:r>
      <w:r>
        <w:t xml:space="preserve">challenges and </w:t>
      </w:r>
      <w:r w:rsidRPr="00AD2663">
        <w:t>complexities by embracing the best</w:t>
      </w:r>
      <w:r>
        <w:t xml:space="preserve"> compliance</w:t>
      </w:r>
      <w:r w:rsidRPr="00AD2663">
        <w:t xml:space="preserve"> strategies.</w:t>
      </w:r>
      <w:r>
        <w:t xml:space="preserve"> </w:t>
      </w:r>
    </w:p>
    <w:p w14:paraId="20354D78" w14:textId="77777777" w:rsidR="003724DF" w:rsidRDefault="003724DF" w:rsidP="003724DF"/>
    <w:p w14:paraId="1286B7B3" w14:textId="77777777" w:rsidR="003724DF" w:rsidRDefault="003724DF" w:rsidP="003724DF">
      <w:r>
        <w:t>Sources:</w:t>
      </w:r>
    </w:p>
    <w:p w14:paraId="55421B5A" w14:textId="77777777" w:rsidR="003724DF" w:rsidRDefault="003724DF" w:rsidP="003724DF">
      <w:pPr>
        <w:spacing w:after="0"/>
      </w:pPr>
      <w:hyperlink r:id="rId24" w:history="1">
        <w:r w:rsidRPr="00D86FD5">
          <w:rPr>
            <w:rStyle w:val="Hyperlink"/>
          </w:rPr>
          <w:t>https://www.dlapiper.com/en/insights/publications/2023/06/mica-tfr-the-two-new-pillars-of-the-eu-cryptoassets-regulatory-framework</w:t>
        </w:r>
      </w:hyperlink>
    </w:p>
    <w:p w14:paraId="642036EA" w14:textId="77777777" w:rsidR="003724DF" w:rsidRDefault="003724DF" w:rsidP="003724DF">
      <w:pPr>
        <w:spacing w:after="0"/>
      </w:pPr>
      <w:hyperlink r:id="rId25" w:history="1">
        <w:r w:rsidRPr="00D86FD5">
          <w:rPr>
            <w:rStyle w:val="Hyperlink"/>
          </w:rPr>
          <w:t>https://www.bovill-newgate.com/asia/binance-aml-failures-intensify-virtual-asset-scrutiny/</w:t>
        </w:r>
      </w:hyperlink>
    </w:p>
    <w:p w14:paraId="42E7AC70" w14:textId="77777777" w:rsidR="003724DF" w:rsidRDefault="003724DF" w:rsidP="003724DF">
      <w:pPr>
        <w:spacing w:after="0"/>
      </w:pPr>
      <w:hyperlink r:id="rId26" w:history="1">
        <w:r w:rsidRPr="00D86FD5">
          <w:rPr>
            <w:rStyle w:val="Hyperlink"/>
          </w:rPr>
          <w:t>https://www.centralbank.ie/regulation/markets-in-crypto-assets-regulation</w:t>
        </w:r>
      </w:hyperlink>
    </w:p>
    <w:p w14:paraId="4CCF2113" w14:textId="77777777" w:rsidR="003724DF" w:rsidRDefault="003724DF" w:rsidP="003724DF">
      <w:pPr>
        <w:spacing w:after="0"/>
      </w:pPr>
      <w:hyperlink r:id="rId27" w:history="1">
        <w:r w:rsidRPr="00D86FD5">
          <w:rPr>
            <w:rStyle w:val="Hyperlink"/>
          </w:rPr>
          <w:t>https://www.sec.gov/newsroom/press-releases/2023-101</w:t>
        </w:r>
      </w:hyperlink>
    </w:p>
    <w:p w14:paraId="4134AE51" w14:textId="77777777" w:rsidR="003724DF" w:rsidRDefault="003724DF" w:rsidP="003724DF">
      <w:pPr>
        <w:spacing w:after="0"/>
      </w:pPr>
      <w:hyperlink r:id="rId28" w:history="1">
        <w:r w:rsidRPr="00D86FD5">
          <w:rPr>
            <w:rStyle w:val="Hyperlink"/>
          </w:rPr>
          <w:t>https://www.sec.gov/newsroom/press-releases/2023-102</w:t>
        </w:r>
      </w:hyperlink>
    </w:p>
    <w:p w14:paraId="1D104028" w14:textId="77777777" w:rsidR="003724DF" w:rsidRDefault="003724DF" w:rsidP="003724DF">
      <w:pPr>
        <w:spacing w:after="0"/>
      </w:pPr>
      <w:hyperlink r:id="rId29" w:history="1">
        <w:r w:rsidRPr="00D86FD5">
          <w:rPr>
            <w:rStyle w:val="Hyperlink"/>
          </w:rPr>
          <w:t>https://www.forbes.com/sites/mollybohannon/2023/11/20/sec-sues-kraken-in-latest-crackdown-against-crypto-exchanges/?sh=2092ff8662b6https://www.forbes.com/sites/mollybohannon/2023/11/20/sec-sues-kraken-in-latest-crackdown-against-crypto-exchanges/?sh=2092ff8662b6</w:t>
        </w:r>
      </w:hyperlink>
    </w:p>
    <w:p w14:paraId="1379F322" w14:textId="77777777" w:rsidR="003724DF" w:rsidRDefault="003724DF" w:rsidP="003724DF">
      <w:pPr>
        <w:spacing w:after="0"/>
      </w:pPr>
      <w:hyperlink r:id="rId30" w:history="1">
        <w:r w:rsidRPr="00D86FD5">
          <w:rPr>
            <w:rStyle w:val="Hyperlink"/>
          </w:rPr>
          <w:t>https://www.adgm.com/media/announcements/adgm-fsra-fines-wise-nuqud-ltd-usd-360000-for-contraventions-of-anti-money-laundering-requirements</w:t>
        </w:r>
      </w:hyperlink>
    </w:p>
    <w:p w14:paraId="48712675" w14:textId="77777777" w:rsidR="003724DF" w:rsidRDefault="003724DF" w:rsidP="003724DF">
      <w:pPr>
        <w:spacing w:after="0"/>
      </w:pPr>
      <w:hyperlink r:id="rId31" w:history="1">
        <w:r w:rsidRPr="00D86FD5">
          <w:rPr>
            <w:rStyle w:val="Hyperlink"/>
          </w:rPr>
          <w:t>https://www.bankofengland.co.uk/paper/2024/cp/digital-securities-sandbox-joint-bank-of-england-and-fca-consultation-paper</w:t>
        </w:r>
      </w:hyperlink>
    </w:p>
    <w:p w14:paraId="37DD3ECE" w14:textId="77777777" w:rsidR="003724DF" w:rsidRDefault="003724DF" w:rsidP="003724DF">
      <w:pPr>
        <w:spacing w:after="0"/>
      </w:pPr>
      <w:hyperlink r:id="rId32" w:history="1">
        <w:r w:rsidRPr="00D86FD5">
          <w:rPr>
            <w:rStyle w:val="Hyperlink"/>
          </w:rPr>
          <w:t>https://www.britannica.com/money/cryptocurrency-regulation</w:t>
        </w:r>
      </w:hyperlink>
    </w:p>
    <w:p w14:paraId="3DBF38AE" w14:textId="77777777" w:rsidR="003724DF" w:rsidRDefault="003724DF" w:rsidP="003724DF">
      <w:pPr>
        <w:spacing w:after="0"/>
      </w:pPr>
      <w:hyperlink r:id="rId33" w:history="1">
        <w:r w:rsidRPr="00D86FD5">
          <w:rPr>
            <w:rStyle w:val="Hyperlink"/>
          </w:rPr>
          <w:t>https://www.idea.int/methodology-international-IDEA-2024-global-elections-super-cycle</w:t>
        </w:r>
      </w:hyperlink>
    </w:p>
    <w:p w14:paraId="6BEE4EDD" w14:textId="77777777" w:rsidR="003724DF" w:rsidRDefault="003724DF" w:rsidP="003724DF">
      <w:pPr>
        <w:spacing w:after="0"/>
      </w:pPr>
      <w:hyperlink r:id="rId34" w:history="1">
        <w:r w:rsidRPr="00D86FD5">
          <w:rPr>
            <w:rStyle w:val="Hyperlink"/>
          </w:rPr>
          <w:t>https://en.wikipedia.org/wiki/List_of_elections_in_2024</w:t>
        </w:r>
      </w:hyperlink>
    </w:p>
    <w:p w14:paraId="30546474" w14:textId="77777777" w:rsidR="003724DF" w:rsidRDefault="003724DF" w:rsidP="003724DF">
      <w:pPr>
        <w:spacing w:after="0"/>
      </w:pPr>
      <w:hyperlink r:id="rId35" w:anchor="4A30336B641340CA88D5A2AE5B477F3E" w:history="1">
        <w:r w:rsidRPr="00D86FD5">
          <w:rPr>
            <w:rStyle w:val="Hyperlink"/>
          </w:rPr>
          <w:t>https://www.sfc.hk/en/Welcome-to-the-Fintech-Contact-Point/Virtual-assets/Virtual-asset-trading-platforms-operators/Regulatory-requirements/FAQs-on-licensing-related-matters/SFC-Regulatory-Sandbox/SFC-Regulatory-Sandbox#4A30336B641340CA88D5A2AE5B477F3E</w:t>
        </w:r>
      </w:hyperlink>
    </w:p>
    <w:p w14:paraId="309E8CD5" w14:textId="77777777" w:rsidR="003724DF" w:rsidRDefault="003724DF" w:rsidP="003724DF">
      <w:pPr>
        <w:spacing w:after="0"/>
      </w:pPr>
      <w:hyperlink r:id="rId36" w:history="1">
        <w:r w:rsidRPr="00D86FD5">
          <w:rPr>
            <w:rStyle w:val="Hyperlink"/>
          </w:rPr>
          <w:t>https://www.sfc.hk/en/Welcome-to-the-Fintech-Contact-Point/SFC-Regulatory-Sandbox</w:t>
        </w:r>
      </w:hyperlink>
    </w:p>
    <w:p w14:paraId="4D8DA749" w14:textId="77777777" w:rsidR="003724DF" w:rsidRDefault="003724DF" w:rsidP="003724DF">
      <w:pPr>
        <w:spacing w:after="0"/>
      </w:pPr>
      <w:hyperlink r:id="rId37" w:history="1">
        <w:r w:rsidRPr="00D86FD5">
          <w:rPr>
            <w:rStyle w:val="Hyperlink"/>
          </w:rPr>
          <w:t>https://www.hkma.gov.hk/eng/news-and-media/press-releases/2024/03/20240312-4/</w:t>
        </w:r>
      </w:hyperlink>
    </w:p>
    <w:p w14:paraId="4E57888A" w14:textId="77777777" w:rsidR="003724DF" w:rsidRPr="00D47F52" w:rsidRDefault="003724DF" w:rsidP="003724DF">
      <w:r>
        <w:t xml:space="preserve"> </w:t>
      </w:r>
    </w:p>
    <w:p w14:paraId="37F9DABB" w14:textId="77777777" w:rsidR="0062530E" w:rsidRDefault="0062530E"/>
    <w:sectPr w:rsidR="0062530E" w:rsidSect="00753E69">
      <w:pgSz w:w="12240" w:h="20160" w:code="5"/>
      <w:pgMar w:top="1008"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Cyr Medium">
    <w:panose1 w:val="020B0603020202020204"/>
    <w:charset w:val="00"/>
    <w:family w:val="swiss"/>
    <w:pitch w:val="variable"/>
    <w:sig w:usb0="0000020F" w:usb1="00000000" w:usb2="00000000" w:usb3="00000000" w:csb0="00000097" w:csb1="00000000"/>
  </w:font>
  <w:font w:name="Avenir Regular">
    <w:panose1 w:val="020B0503020203020204"/>
    <w:charset w:val="00"/>
    <w:family w:val="swiss"/>
    <w:notTrueType/>
    <w:pitch w:val="variable"/>
    <w:sig w:usb0="8000202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69EF"/>
    <w:multiLevelType w:val="multilevel"/>
    <w:tmpl w:val="A13C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D1E91"/>
    <w:multiLevelType w:val="multilevel"/>
    <w:tmpl w:val="BE0C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655D9"/>
    <w:multiLevelType w:val="multilevel"/>
    <w:tmpl w:val="6A0848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D04F6"/>
    <w:multiLevelType w:val="multilevel"/>
    <w:tmpl w:val="2342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C74EB"/>
    <w:multiLevelType w:val="multilevel"/>
    <w:tmpl w:val="6B6A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D5B62"/>
    <w:multiLevelType w:val="multilevel"/>
    <w:tmpl w:val="29E8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1D06E7"/>
    <w:multiLevelType w:val="multilevel"/>
    <w:tmpl w:val="DAA4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00F6C"/>
    <w:multiLevelType w:val="hybridMultilevel"/>
    <w:tmpl w:val="A1269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B210DA"/>
    <w:multiLevelType w:val="multilevel"/>
    <w:tmpl w:val="7A28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271599">
    <w:abstractNumId w:val="2"/>
  </w:num>
  <w:num w:numId="2" w16cid:durableId="535317673">
    <w:abstractNumId w:val="3"/>
  </w:num>
  <w:num w:numId="3" w16cid:durableId="126827282">
    <w:abstractNumId w:val="7"/>
  </w:num>
  <w:num w:numId="4" w16cid:durableId="725252793">
    <w:abstractNumId w:val="0"/>
  </w:num>
  <w:num w:numId="5" w16cid:durableId="1367024714">
    <w:abstractNumId w:val="1"/>
  </w:num>
  <w:num w:numId="6" w16cid:durableId="411438847">
    <w:abstractNumId w:val="6"/>
  </w:num>
  <w:num w:numId="7" w16cid:durableId="7488994">
    <w:abstractNumId w:val="8"/>
  </w:num>
  <w:num w:numId="8" w16cid:durableId="484471884">
    <w:abstractNumId w:val="4"/>
  </w:num>
  <w:num w:numId="9" w16cid:durableId="19451886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DF"/>
    <w:rsid w:val="000E68D8"/>
    <w:rsid w:val="00133369"/>
    <w:rsid w:val="002A5156"/>
    <w:rsid w:val="003724DF"/>
    <w:rsid w:val="004C4A06"/>
    <w:rsid w:val="004F23E9"/>
    <w:rsid w:val="005C6878"/>
    <w:rsid w:val="005D70AF"/>
    <w:rsid w:val="0062530E"/>
    <w:rsid w:val="00641464"/>
    <w:rsid w:val="00641B29"/>
    <w:rsid w:val="00733323"/>
    <w:rsid w:val="00753E69"/>
    <w:rsid w:val="008F29C7"/>
    <w:rsid w:val="0097250B"/>
    <w:rsid w:val="00A73935"/>
    <w:rsid w:val="00C82FDB"/>
    <w:rsid w:val="00D05842"/>
    <w:rsid w:val="00DB32D7"/>
    <w:rsid w:val="00DD2363"/>
    <w:rsid w:val="00E41B27"/>
    <w:rsid w:val="00E55496"/>
    <w:rsid w:val="00F70F90"/>
    <w:rsid w:val="00FC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3656"/>
  <w15:chartTrackingRefBased/>
  <w15:docId w15:val="{9C0D0BE9-0F34-466A-81A0-DF543C419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4DF"/>
    <w:pPr>
      <w:spacing w:line="240" w:lineRule="auto"/>
    </w:pPr>
    <w:rPr>
      <w:rFonts w:ascii="Avenir Next Cyr Medium" w:hAnsi="Avenir Next Cyr Medium"/>
    </w:rPr>
  </w:style>
  <w:style w:type="paragraph" w:styleId="Heading1">
    <w:name w:val="heading 1"/>
    <w:basedOn w:val="Normal"/>
    <w:next w:val="Normal"/>
    <w:link w:val="Heading1Char"/>
    <w:autoRedefine/>
    <w:uiPriority w:val="9"/>
    <w:qFormat/>
    <w:rsid w:val="00641464"/>
    <w:pPr>
      <w:keepNext/>
      <w:keepLines/>
      <w:spacing w:after="40"/>
      <w:outlineLvl w:val="0"/>
    </w:pPr>
    <w:rPr>
      <w:rFonts w:eastAsiaTheme="majorEastAsia" w:cstheme="majorBidi"/>
      <w:b/>
      <w:color w:val="002060"/>
      <w:sz w:val="23"/>
      <w:szCs w:val="32"/>
    </w:rPr>
  </w:style>
  <w:style w:type="paragraph" w:styleId="Heading2">
    <w:name w:val="heading 2"/>
    <w:basedOn w:val="Normal"/>
    <w:next w:val="Normal"/>
    <w:link w:val="Heading2Char"/>
    <w:autoRedefine/>
    <w:uiPriority w:val="9"/>
    <w:unhideWhenUsed/>
    <w:qFormat/>
    <w:rsid w:val="00641464"/>
    <w:pPr>
      <w:keepNext/>
      <w:keepLines/>
      <w:outlineLvl w:val="1"/>
    </w:pPr>
    <w:rPr>
      <w:rFonts w:eastAsiaTheme="majorEastAsia" w:cstheme="majorBidi"/>
      <w:b/>
      <w:color w:val="0D0D0D" w:themeColor="text1" w:themeTint="F2"/>
      <w:szCs w:val="26"/>
      <w:lang w:val="en"/>
    </w:rPr>
  </w:style>
  <w:style w:type="paragraph" w:styleId="Heading3">
    <w:name w:val="heading 3"/>
    <w:basedOn w:val="Normal"/>
    <w:next w:val="Normal"/>
    <w:link w:val="Heading3Char"/>
    <w:uiPriority w:val="9"/>
    <w:unhideWhenUsed/>
    <w:qFormat/>
    <w:rsid w:val="00641464"/>
    <w:pPr>
      <w:keepNext/>
      <w:keepLines/>
      <w:spacing w:after="0"/>
      <w:outlineLvl w:val="2"/>
    </w:pPr>
    <w:rPr>
      <w:rFonts w:eastAsiaTheme="majorEastAsia" w:cstheme="majorBidi"/>
      <w:b/>
      <w:color w:val="2F5496" w:themeColor="accent1" w:themeShade="BF"/>
      <w:szCs w:val="24"/>
    </w:rPr>
  </w:style>
  <w:style w:type="paragraph" w:styleId="Heading4">
    <w:name w:val="heading 4"/>
    <w:basedOn w:val="Normal"/>
    <w:next w:val="Normal"/>
    <w:link w:val="Heading4Char"/>
    <w:uiPriority w:val="9"/>
    <w:unhideWhenUsed/>
    <w:qFormat/>
    <w:rsid w:val="00E55496"/>
    <w:pPr>
      <w:keepNext/>
      <w:keepLines/>
      <w:spacing w:after="0"/>
      <w:outlineLvl w:val="3"/>
    </w:pPr>
    <w:rPr>
      <w:rFonts w:eastAsiaTheme="majorEastAsia" w:cstheme="majorBidi"/>
      <w:b/>
      <w:iCs/>
      <w:color w:val="0D0D0D" w:themeColor="text1" w:themeTint="F2"/>
    </w:rPr>
  </w:style>
  <w:style w:type="paragraph" w:styleId="Heading5">
    <w:name w:val="heading 5"/>
    <w:basedOn w:val="Normal"/>
    <w:next w:val="Normal"/>
    <w:link w:val="Heading5Char"/>
    <w:uiPriority w:val="9"/>
    <w:unhideWhenUsed/>
    <w:qFormat/>
    <w:rsid w:val="003724DF"/>
    <w:pPr>
      <w:keepNext/>
      <w:keepLines/>
      <w:spacing w:after="0"/>
      <w:outlineLvl w:val="4"/>
    </w:pPr>
    <w:rPr>
      <w:rFonts w:eastAsiaTheme="majorEastAsia" w:cstheme="majorBidi"/>
      <w:b/>
      <w: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464"/>
    <w:rPr>
      <w:rFonts w:ascii="Avenir Next Cyr Medium" w:eastAsiaTheme="majorEastAsia" w:hAnsi="Avenir Next Cyr Medium" w:cstheme="majorBidi"/>
      <w:b/>
      <w:color w:val="002060"/>
      <w:sz w:val="23"/>
      <w:szCs w:val="32"/>
    </w:rPr>
  </w:style>
  <w:style w:type="character" w:customStyle="1" w:styleId="Heading2Char">
    <w:name w:val="Heading 2 Char"/>
    <w:basedOn w:val="DefaultParagraphFont"/>
    <w:link w:val="Heading2"/>
    <w:uiPriority w:val="9"/>
    <w:rsid w:val="00641464"/>
    <w:rPr>
      <w:rFonts w:ascii="Avenir Next Cyr Medium" w:eastAsiaTheme="majorEastAsia" w:hAnsi="Avenir Next Cyr Medium" w:cstheme="majorBidi"/>
      <w:b/>
      <w:color w:val="0D0D0D" w:themeColor="text1" w:themeTint="F2"/>
      <w:szCs w:val="26"/>
      <w:lang w:val="en"/>
    </w:rPr>
  </w:style>
  <w:style w:type="paragraph" w:styleId="Title">
    <w:name w:val="Title"/>
    <w:basedOn w:val="Normal"/>
    <w:next w:val="Normal"/>
    <w:link w:val="TitleChar"/>
    <w:autoRedefine/>
    <w:uiPriority w:val="10"/>
    <w:qFormat/>
    <w:rsid w:val="00D05842"/>
    <w:pPr>
      <w:spacing w:after="40"/>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D05842"/>
    <w:rPr>
      <w:rFonts w:ascii="Avenir Regular" w:eastAsiaTheme="majorEastAsia" w:hAnsi="Avenir Regular" w:cstheme="majorBidi"/>
      <w:b/>
      <w:spacing w:val="-10"/>
      <w:kern w:val="28"/>
      <w:sz w:val="28"/>
      <w:szCs w:val="56"/>
    </w:rPr>
  </w:style>
  <w:style w:type="character" w:customStyle="1" w:styleId="Heading4Char">
    <w:name w:val="Heading 4 Char"/>
    <w:basedOn w:val="DefaultParagraphFont"/>
    <w:link w:val="Heading4"/>
    <w:uiPriority w:val="9"/>
    <w:rsid w:val="00E55496"/>
    <w:rPr>
      <w:rFonts w:ascii="Avenir Next Cyr Medium" w:eastAsiaTheme="majorEastAsia" w:hAnsi="Avenir Next Cyr Medium" w:cstheme="majorBidi"/>
      <w:b/>
      <w:iCs/>
      <w:color w:val="0D0D0D" w:themeColor="text1" w:themeTint="F2"/>
      <w:sz w:val="20"/>
    </w:rPr>
  </w:style>
  <w:style w:type="character" w:customStyle="1" w:styleId="Heading3Char">
    <w:name w:val="Heading 3 Char"/>
    <w:basedOn w:val="DefaultParagraphFont"/>
    <w:link w:val="Heading3"/>
    <w:uiPriority w:val="9"/>
    <w:rsid w:val="00641464"/>
    <w:rPr>
      <w:rFonts w:ascii="Avenir Next Cyr Medium" w:eastAsiaTheme="majorEastAsia" w:hAnsi="Avenir Next Cyr Medium" w:cstheme="majorBidi"/>
      <w:b/>
      <w:color w:val="2F5496" w:themeColor="accent1" w:themeShade="BF"/>
      <w:sz w:val="21"/>
      <w:szCs w:val="24"/>
    </w:rPr>
  </w:style>
  <w:style w:type="character" w:customStyle="1" w:styleId="Heading5Char">
    <w:name w:val="Heading 5 Char"/>
    <w:basedOn w:val="DefaultParagraphFont"/>
    <w:link w:val="Heading5"/>
    <w:uiPriority w:val="9"/>
    <w:rsid w:val="003724DF"/>
    <w:rPr>
      <w:rFonts w:ascii="Avenir Next Cyr Medium" w:eastAsiaTheme="majorEastAsia" w:hAnsi="Avenir Next Cyr Medium" w:cstheme="majorBidi"/>
      <w:b/>
      <w:i/>
      <w:color w:val="2F5496" w:themeColor="accent1" w:themeShade="BF"/>
    </w:rPr>
  </w:style>
  <w:style w:type="character" w:styleId="Hyperlink">
    <w:name w:val="Hyperlink"/>
    <w:basedOn w:val="DefaultParagraphFont"/>
    <w:uiPriority w:val="99"/>
    <w:unhideWhenUsed/>
    <w:rsid w:val="003724DF"/>
    <w:rPr>
      <w:color w:val="0563C1" w:themeColor="hyperlink"/>
      <w:u w:val="single"/>
    </w:rPr>
  </w:style>
  <w:style w:type="character" w:styleId="UnresolvedMention">
    <w:name w:val="Unresolved Mention"/>
    <w:basedOn w:val="DefaultParagraphFont"/>
    <w:uiPriority w:val="99"/>
    <w:semiHidden/>
    <w:unhideWhenUsed/>
    <w:rsid w:val="003724DF"/>
    <w:rPr>
      <w:color w:val="605E5C"/>
      <w:shd w:val="clear" w:color="auto" w:fill="E1DFDD"/>
    </w:rPr>
  </w:style>
  <w:style w:type="paragraph" w:styleId="ListParagraph">
    <w:name w:val="List Paragraph"/>
    <w:basedOn w:val="Normal"/>
    <w:uiPriority w:val="34"/>
    <w:qFormat/>
    <w:rsid w:val="003724DF"/>
    <w:pPr>
      <w:ind w:left="720"/>
      <w:contextualSpacing/>
    </w:pPr>
  </w:style>
  <w:style w:type="character" w:styleId="FollowedHyperlink">
    <w:name w:val="FollowedHyperlink"/>
    <w:basedOn w:val="DefaultParagraphFont"/>
    <w:uiPriority w:val="99"/>
    <w:semiHidden/>
    <w:unhideWhenUsed/>
    <w:rsid w:val="003724DF"/>
    <w:rPr>
      <w:color w:val="954F72" w:themeColor="followedHyperlink"/>
      <w:u w:val="single"/>
    </w:rPr>
  </w:style>
  <w:style w:type="character" w:styleId="CommentReference">
    <w:name w:val="annotation reference"/>
    <w:basedOn w:val="DefaultParagraphFont"/>
    <w:uiPriority w:val="99"/>
    <w:semiHidden/>
    <w:unhideWhenUsed/>
    <w:rsid w:val="003724DF"/>
    <w:rPr>
      <w:sz w:val="16"/>
      <w:szCs w:val="16"/>
    </w:rPr>
  </w:style>
  <w:style w:type="paragraph" w:styleId="CommentText">
    <w:name w:val="annotation text"/>
    <w:basedOn w:val="Normal"/>
    <w:link w:val="CommentTextChar"/>
    <w:uiPriority w:val="99"/>
    <w:semiHidden/>
    <w:unhideWhenUsed/>
    <w:rsid w:val="003724DF"/>
    <w:rPr>
      <w:sz w:val="20"/>
      <w:szCs w:val="20"/>
    </w:rPr>
  </w:style>
  <w:style w:type="character" w:customStyle="1" w:styleId="CommentTextChar">
    <w:name w:val="Comment Text Char"/>
    <w:basedOn w:val="DefaultParagraphFont"/>
    <w:link w:val="CommentText"/>
    <w:uiPriority w:val="99"/>
    <w:semiHidden/>
    <w:rsid w:val="003724DF"/>
    <w:rPr>
      <w:rFonts w:ascii="Avenir Next Cyr Medium" w:hAnsi="Avenir Next Cyr Medium"/>
      <w:sz w:val="20"/>
      <w:szCs w:val="20"/>
    </w:rPr>
  </w:style>
  <w:style w:type="paragraph" w:styleId="CommentSubject">
    <w:name w:val="annotation subject"/>
    <w:basedOn w:val="CommentText"/>
    <w:next w:val="CommentText"/>
    <w:link w:val="CommentSubjectChar"/>
    <w:uiPriority w:val="99"/>
    <w:semiHidden/>
    <w:unhideWhenUsed/>
    <w:rsid w:val="003724DF"/>
    <w:rPr>
      <w:b/>
      <w:bCs/>
    </w:rPr>
  </w:style>
  <w:style w:type="character" w:customStyle="1" w:styleId="CommentSubjectChar">
    <w:name w:val="Comment Subject Char"/>
    <w:basedOn w:val="CommentTextChar"/>
    <w:link w:val="CommentSubject"/>
    <w:uiPriority w:val="99"/>
    <w:semiHidden/>
    <w:rsid w:val="003724DF"/>
    <w:rPr>
      <w:rFonts w:ascii="Avenir Next Cyr Medium" w:hAnsi="Avenir Next Cyr Medium"/>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fc.hk/en/Welcome-to-the-Fintech-Contact-Point/SFC-Regulatory-Sandbox" TargetMode="External"/><Relationship Id="rId18" Type="http://schemas.openxmlformats.org/officeDocument/2006/relationships/hyperlink" Target="https://www.cnbc.com/video/2024/12/13/rep-french-hill-on-crypto-we-need-a-market-structure-for-digital-assets.html" TargetMode="External"/><Relationship Id="rId26" Type="http://schemas.openxmlformats.org/officeDocument/2006/relationships/hyperlink" Target="https://www.centralbank.ie/regulation/markets-in-crypto-assets-regulation" TargetMode="External"/><Relationship Id="rId39" Type="http://schemas.openxmlformats.org/officeDocument/2006/relationships/theme" Target="theme/theme1.xml"/><Relationship Id="rId21" Type="http://schemas.openxmlformats.org/officeDocument/2006/relationships/hyperlink" Target="https://www.fca.org.uk/publication/documents/crypto-roadmap.pdf" TargetMode="External"/><Relationship Id="rId34" Type="http://schemas.openxmlformats.org/officeDocument/2006/relationships/hyperlink" Target="https://en.wikipedia.org/wiki/List_of_elections_in_2024" TargetMode="External"/><Relationship Id="rId7" Type="http://schemas.openxmlformats.org/officeDocument/2006/relationships/hyperlink" Target="https://www.sec.gov/newsroom/press-releases/2023-102" TargetMode="External"/><Relationship Id="rId12" Type="http://schemas.openxmlformats.org/officeDocument/2006/relationships/hyperlink" Target="https://www.hkma.gov.hk/eng/news-and-media/insight/2024/03/20240312/" TargetMode="External"/><Relationship Id="rId17" Type="http://schemas.openxmlformats.org/officeDocument/2006/relationships/hyperlink" Target="https://www.sciencedirect.com/science/article/pii/S2096720923000519?via%3Dihub" TargetMode="External"/><Relationship Id="rId25" Type="http://schemas.openxmlformats.org/officeDocument/2006/relationships/hyperlink" Target="https://www.bovill-newgate.com/asia/binance-aml-failures-intensify-virtual-asset-scrutiny/" TargetMode="External"/><Relationship Id="rId33" Type="http://schemas.openxmlformats.org/officeDocument/2006/relationships/hyperlink" Target="https://www.idea.int/methodology-international-IDEA-2024-global-elections-super-cycl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echforgoodinstitute.org/blog/expert-opinion/accelerating-innovation-the-philippines-journey-with-regulatory-sandboxes/" TargetMode="External"/><Relationship Id="rId20" Type="http://schemas.openxmlformats.org/officeDocument/2006/relationships/hyperlink" Target="https://www.fca.org.uk/news/blogs/developing-our-approach-crypto-regulation" TargetMode="External"/><Relationship Id="rId29" Type="http://schemas.openxmlformats.org/officeDocument/2006/relationships/hyperlink" Target="https://www.forbes.com/sites/mollybohannon/2023/11/20/sec-sues-kraken-in-latest-crackdown-against-crypto-exchanges/?sh=2092ff8662b6https://www.forbes.com/sites/mollybohannon/2023/11/20/sec-sues-kraken-in-latest-crackdown-against-crypto-exchanges/?sh=2092ff8662b6" TargetMode="External"/><Relationship Id="rId1" Type="http://schemas.openxmlformats.org/officeDocument/2006/relationships/numbering" Target="numbering.xml"/><Relationship Id="rId6" Type="http://schemas.openxmlformats.org/officeDocument/2006/relationships/hyperlink" Target="https://www.sec.gov/newsroom/press-releases/2023-101" TargetMode="External"/><Relationship Id="rId11" Type="http://schemas.openxmlformats.org/officeDocument/2006/relationships/hyperlink" Target="https://www.congress.gov/bill/118th-congress/house-bill/4763/all-actions?s=1&amp;r=1&amp;q=%7B%22search%22%3A%5B%22Financial+Innovation+and+Technology+for+the+21st+Century+Act.%22%5D%7D" TargetMode="External"/><Relationship Id="rId24" Type="http://schemas.openxmlformats.org/officeDocument/2006/relationships/hyperlink" Target="https://www.dlapiper.com/en/insights/publications/2023/06/mica-tfr-the-two-new-pillars-of-the-eu-cryptoassets-regulatory-framework" TargetMode="External"/><Relationship Id="rId32" Type="http://schemas.openxmlformats.org/officeDocument/2006/relationships/hyperlink" Target="https://www.britannica.com/money/cryptocurrency-regulation" TargetMode="External"/><Relationship Id="rId37" Type="http://schemas.openxmlformats.org/officeDocument/2006/relationships/hyperlink" Target="https://www.hkma.gov.hk/eng/news-and-media/press-releases/2024/03/20240312-4/" TargetMode="External"/><Relationship Id="rId5" Type="http://schemas.openxmlformats.org/officeDocument/2006/relationships/hyperlink" Target="https://www.idea.int/initiatives/the-2024-global-elections-supercycle" TargetMode="External"/><Relationship Id="rId15" Type="http://schemas.openxmlformats.org/officeDocument/2006/relationships/hyperlink" Target="https://sso.agc.gov.sg/Act/FSMA2022" TargetMode="External"/><Relationship Id="rId23" Type="http://schemas.openxmlformats.org/officeDocument/2006/relationships/hyperlink" Target="https://treasury.gov.au/sites/default/files/2023-10/c2023-427004-proposal-paper-final.pdf" TargetMode="External"/><Relationship Id="rId28" Type="http://schemas.openxmlformats.org/officeDocument/2006/relationships/hyperlink" Target="https://www.sec.gov/newsroom/press-releases/2023-102" TargetMode="External"/><Relationship Id="rId36" Type="http://schemas.openxmlformats.org/officeDocument/2006/relationships/hyperlink" Target="https://www.sfc.hk/en/Welcome-to-the-Fintech-Contact-Point/SFC-Regulatory-Sandbox" TargetMode="External"/><Relationship Id="rId10" Type="http://schemas.openxmlformats.org/officeDocument/2006/relationships/hyperlink" Target="https://www.adgm.com/media/announcements/adgm-fsra-fines-wise-nuqud-ltd-usd-360000-for-contraventions-of-anti-money-laundering-requirements" TargetMode="External"/><Relationship Id="rId19" Type="http://schemas.openxmlformats.org/officeDocument/2006/relationships/hyperlink" Target="https://www.gov.uk/government/speeches/keynote-address-at-the-tokenisation-summit-uk-government-approach-to-tokenisation-and-regulation" TargetMode="External"/><Relationship Id="rId31" Type="http://schemas.openxmlformats.org/officeDocument/2006/relationships/hyperlink" Target="https://www.bankofengland.co.uk/paper/2024/cp/digital-securities-sandbox-joint-bank-of-england-and-fca-consultation-paper" TargetMode="External"/><Relationship Id="rId4" Type="http://schemas.openxmlformats.org/officeDocument/2006/relationships/webSettings" Target="webSettings.xml"/><Relationship Id="rId9" Type="http://schemas.openxmlformats.org/officeDocument/2006/relationships/hyperlink" Target="https://www.justice.gov/usao-sdny/pr/prominent-global-cryptocurrency-exchange-kucoin-and-two-its-founders-criminally" TargetMode="External"/><Relationship Id="rId14" Type="http://schemas.openxmlformats.org/officeDocument/2006/relationships/hyperlink" Target="https://www.hkma.gov.hk/eng/news-and-media/press-releases/2024/03/20240312-4/" TargetMode="External"/><Relationship Id="rId22" Type="http://schemas.openxmlformats.org/officeDocument/2006/relationships/hyperlink" Target="https://blog.kraken.com/news/important-context-behind-asics-recent-judgment-and-why-australia-should-prioritise-implementing-a-clear-crypto-regulatory-framework" TargetMode="External"/><Relationship Id="rId27" Type="http://schemas.openxmlformats.org/officeDocument/2006/relationships/hyperlink" Target="https://www.sec.gov/newsroom/press-releases/2023-101" TargetMode="External"/><Relationship Id="rId30" Type="http://schemas.openxmlformats.org/officeDocument/2006/relationships/hyperlink" Target="https://www.adgm.com/media/announcements/adgm-fsra-fines-wise-nuqud-ltd-usd-360000-for-contraventions-of-anti-money-laundering-requirements" TargetMode="External"/><Relationship Id="rId35" Type="http://schemas.openxmlformats.org/officeDocument/2006/relationships/hyperlink" Target="https://www.sfc.hk/en/Welcome-to-the-Fintech-Contact-Point/Virtual-assets/Virtual-asset-trading-platforms-operators/Regulatory-requirements/FAQs-on-licensing-related-matters/SFC-Regulatory-Sandbox/SFC-Regulatory-Sandbox" TargetMode="External"/><Relationship Id="rId8" Type="http://schemas.openxmlformats.org/officeDocument/2006/relationships/hyperlink" Target="https://www.sec.gov/newsroom/press-releases/2023-23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4616</Words>
  <Characters>26315</Characters>
  <Application>Microsoft Office Word</Application>
  <DocSecurity>0</DocSecurity>
  <Lines>219</Lines>
  <Paragraphs>61</Paragraphs>
  <ScaleCrop>false</ScaleCrop>
  <Company/>
  <LinksUpToDate>false</LinksUpToDate>
  <CharactersWithSpaces>30870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O.</dc:creator>
  <cp:keywords/>
  <dc:description/>
  <cp:lastModifiedBy>SAMMY O.</cp:lastModifiedBy>
  <cp:revision>3</cp:revision>
  <dcterms:created xsi:type="dcterms:W3CDTF">2024-12-31T16:52:00Z</dcterms:created>
  <dcterms:modified xsi:type="dcterms:W3CDTF">2024-12-31T16:55:00Z</dcterms:modified>
</cp:coreProperties>
</file>