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Software Development II</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Software Development II</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Software Development II</w:t>
      </w:r>
    </w:p>
    <w:p>
      <w:pPr>
        <w:pStyle w:val="Heading2"/>
        <w:spacing w:after="200"/>
      </w:pPr>
      <w:r>
        <w:t>Short Service Description</w:t>
      </w:r>
    </w:p>
    <w:p>
      <w:pPr>
        <w:spacing w:after="320"/>
      </w:pPr>
    </w:p>
    <w:p>
      <w:pPr>
        <w:pStyle w:val="Heading2"/>
        <w:spacing w:after="200"/>
      </w:pPr>
      <w:r>
        <w:t>Key Service Features</w:t>
      </w:r>
    </w:p>
    <w:p>
      <w:pPr>
        <w:spacing w:after="280"/>
      </w:pPr>
    </w:p>
    <w:p>
      <w:pPr>
        <w:pStyle w:val="Heading2"/>
        <w:spacing w:after="160"/>
      </w:pPr>
      <w:r>
        <w:t>Key Service Benefits</w:t>
      </w:r>
    </w:p>
    <w:p>
      <w:pPr>
        <w:spacing w:after="320"/>
      </w:pPr>
    </w:p>
    <w:p>
      <w:pPr>
        <w:pStyle w:val="Heading2"/>
        <w:spacing w:after="120"/>
      </w:pPr>
      <w:r>
        <w:t>Service Definition</w:t>
      </w:r>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