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6"/>
        <w:jc w:val="center"/>
        <w:outlineLvl w:val="9"/>
      </w:pPr>
      <w:r>
        <w:rPr>
          <w:rFonts w:ascii="微软雅黑" w:hAnsi="微软雅黑" w:eastAsia="微软雅黑"/>
          <w:b/>
          <w:color w:val="003399"/>
          <w:sz w:val="44"/>
        </w:rPr>
        <w:t>技能类型与局内升级系统策划案 V1.1</w:t>
      </w:r>
    </w:p>
    <w:p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_Toc1 </w:instrText>
      </w:r>
      <w:r>
        <w:fldChar w:fldCharType="separate"/>
      </w:r>
      <w:r>
        <w:t xml:space="preserve">1. 设计目的</w:t>
      </w:r>
      <w:r>
        <w:fldChar w:fldCharType="end"/>
      </w:r>
      <w:r>
        <w:tab/>
      </w:r>
      <w:r>
        <w:fldChar w:fldCharType="begin"/>
      </w:r>
      <w:r>
        <w:instrText xml:space="preserve"> PAGEREF _Toc1 \h </w:instrText>
      </w:r>
      <w:r>
        <w:fldChar w:fldCharType="separate"/>
      </w:r>
      <w:r>
        <w:t xml:space="preserve">2</w:t>
      </w:r>
      <w:r>
        <w:fldChar w:fldCharType="end"/>
      </w:r>
    </w:p>
    <w:p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_Toc2 </w:instrText>
      </w:r>
      <w:r>
        <w:fldChar w:fldCharType="separate"/>
      </w:r>
      <w:r>
        <w:t xml:space="preserve">2. 名词解释</w:t>
      </w:r>
      <w:r>
        <w:fldChar w:fldCharType="end"/>
      </w:r>
      <w:r>
        <w:tab/>
      </w:r>
      <w:r>
        <w:fldChar w:fldCharType="begin"/>
      </w:r>
      <w:r>
        <w:instrText xml:space="preserve"> PAGEREF _Toc2 \h </w:instrText>
      </w:r>
      <w:r>
        <w:fldChar w:fldCharType="separate"/>
      </w:r>
      <w:r>
        <w:t xml:space="preserve">3</w:t>
      </w:r>
      <w:r>
        <w:fldChar w:fldCharType="end"/>
      </w:r>
    </w:p>
    <w:p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_Toc3 </w:instrText>
      </w:r>
      <w:r>
        <w:fldChar w:fldCharType="separate"/>
      </w:r>
      <w:r>
        <w:t xml:space="preserve">3. 流程介绍</w:t>
      </w:r>
      <w:r>
        <w:fldChar w:fldCharType="end"/>
      </w:r>
      <w:r>
        <w:tab/>
      </w:r>
      <w:r>
        <w:fldChar w:fldCharType="begin"/>
      </w:r>
      <w:r>
        <w:instrText xml:space="preserve"> PAGEREF _Toc3 \h </w:instrText>
      </w:r>
      <w:r>
        <w:fldChar w:fldCharType="separate"/>
      </w:r>
      <w:r>
        <w:t xml:space="preserve">4</w:t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_Toc4 </w:instrText>
      </w:r>
      <w:r>
        <w:fldChar w:fldCharType="separate"/>
      </w:r>
      <w:r>
        <w:t xml:space="preserve">3.1. 局内三选一流程图</w:t>
      </w:r>
      <w:r>
        <w:fldChar w:fldCharType="end"/>
      </w:r>
      <w:r>
        <w:tab/>
      </w:r>
      <w:r>
        <w:fldChar w:fldCharType="begin"/>
      </w:r>
      <w:r>
        <w:instrText xml:space="preserve"> PAGEREF _Toc4 \h </w:instrText>
      </w:r>
      <w:r>
        <w:fldChar w:fldCharType="separate"/>
      </w:r>
      <w:r>
        <w:t xml:space="preserve">5</w:t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_Toc5 </w:instrText>
      </w:r>
      <w:r>
        <w:fldChar w:fldCharType="separate"/>
      </w:r>
      <w:r>
        <w:t xml:space="preserve">3.2. 流程说明</w:t>
      </w:r>
      <w:r>
        <w:fldChar w:fldCharType="end"/>
      </w:r>
      <w:r>
        <w:tab/>
      </w:r>
      <w:r>
        <w:fldChar w:fldCharType="begin"/>
      </w:r>
      <w:r>
        <w:instrText xml:space="preserve"> PAGEREF _Toc5 \h </w:instrText>
      </w:r>
      <w:r>
        <w:fldChar w:fldCharType="separate"/>
      </w:r>
      <w:r>
        <w:t xml:space="preserve">6</w:t>
      </w:r>
      <w:r>
        <w:fldChar w:fldCharType="end"/>
      </w:r>
    </w:p>
    <w:p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_Toc6 </w:instrText>
      </w:r>
      <w:r>
        <w:fldChar w:fldCharType="separate"/>
      </w:r>
      <w:r>
        <w:t xml:space="preserve">4. 功能设定</w:t>
      </w:r>
      <w:r>
        <w:fldChar w:fldCharType="end"/>
      </w:r>
      <w:r>
        <w:tab/>
      </w:r>
      <w:r>
        <w:fldChar w:fldCharType="begin"/>
      </w:r>
      <w:r>
        <w:instrText xml:space="preserve"> PAGEREF _Toc6 \h </w:instrText>
      </w:r>
      <w:r>
        <w:fldChar w:fldCharType="separate"/>
      </w:r>
      <w:r>
        <w:t xml:space="preserve">7</w:t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_Toc7 </w:instrText>
      </w:r>
      <w:r>
        <w:fldChar w:fldCharType="separate"/>
      </w:r>
      <w:r>
        <w:t xml:space="preserve">4.1. 系统范围</w:t>
      </w:r>
      <w:r>
        <w:fldChar w:fldCharType="end"/>
      </w:r>
      <w:r>
        <w:tab/>
      </w:r>
      <w:r>
        <w:fldChar w:fldCharType="begin"/>
      </w:r>
      <w:r>
        <w:instrText xml:space="preserve"> PAGEREF _Toc7 \h </w:instrText>
      </w:r>
      <w:r>
        <w:fldChar w:fldCharType="separate"/>
      </w:r>
      <w:r>
        <w:t xml:space="preserve">8</w:t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_Toc8 </w:instrText>
      </w:r>
      <w:r>
        <w:fldChar w:fldCharType="separate"/>
      </w:r>
      <w:r>
        <w:t xml:space="preserve">4.2. 当前基础与参考结论</w:t>
      </w:r>
      <w:r>
        <w:fldChar w:fldCharType="end"/>
      </w:r>
      <w:r>
        <w:tab/>
      </w:r>
      <w:r>
        <w:fldChar w:fldCharType="begin"/>
      </w:r>
      <w:r>
        <w:instrText xml:space="preserve"> PAGEREF _Toc8 \h </w:instrText>
      </w:r>
      <w:r>
        <w:fldChar w:fldCharType="separate"/>
      </w:r>
      <w:r>
        <w:t xml:space="preserve">9</w:t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_Toc9 </w:instrText>
      </w:r>
      <w:r>
        <w:fldChar w:fldCharType="separate"/>
      </w:r>
      <w:r>
        <w:t xml:space="preserve">4.3. 技能组合方向</w:t>
      </w:r>
      <w:r>
        <w:fldChar w:fldCharType="end"/>
      </w:r>
      <w:r>
        <w:tab/>
      </w:r>
      <w:r>
        <w:fldChar w:fldCharType="begin"/>
      </w:r>
      <w:r>
        <w:instrText xml:space="preserve"> PAGEREF _Toc9 \h </w:instrText>
      </w:r>
      <w:r>
        <w:fldChar w:fldCharType="separate"/>
      </w:r>
      <w:r>
        <w:t xml:space="preserve">10</w:t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_Toc10 </w:instrText>
      </w:r>
      <w:r>
        <w:fldChar w:fldCharType="separate"/>
      </w:r>
      <w:r>
        <w:t xml:space="preserve">4.4. 三选一候选规则</w:t>
      </w:r>
      <w:r>
        <w:fldChar w:fldCharType="end"/>
      </w:r>
      <w:r>
        <w:tab/>
      </w:r>
      <w:r>
        <w:fldChar w:fldCharType="begin"/>
      </w:r>
      <w:r>
        <w:instrText xml:space="preserve"> PAGEREF _Toc10 \h </w:instrText>
      </w:r>
      <w:r>
        <w:fldChar w:fldCharType="separate"/>
      </w:r>
      <w:r>
        <w:t xml:space="preserve">11</w:t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_Toc11 </w:instrText>
      </w:r>
      <w:r>
        <w:fldChar w:fldCharType="separate"/>
      </w:r>
      <w:r>
        <w:t xml:space="preserve">4.5. 权重与耗尽规则</w:t>
      </w:r>
      <w:r>
        <w:fldChar w:fldCharType="end"/>
      </w:r>
      <w:r>
        <w:tab/>
      </w:r>
      <w:r>
        <w:fldChar w:fldCharType="begin"/>
      </w:r>
      <w:r>
        <w:instrText xml:space="preserve"> PAGEREF _Toc11 \h </w:instrText>
      </w:r>
      <w:r>
        <w:fldChar w:fldCharType="separate"/>
      </w:r>
      <w:r>
        <w:t xml:space="preserve">12</w:t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_Toc12 </w:instrText>
      </w:r>
      <w:r>
        <w:fldChar w:fldCharType="separate"/>
      </w:r>
      <w:r>
        <w:t xml:space="preserve">4.6. 升级效果规则</w:t>
      </w:r>
      <w:r>
        <w:fldChar w:fldCharType="end"/>
      </w:r>
      <w:r>
        <w:tab/>
      </w:r>
      <w:r>
        <w:fldChar w:fldCharType="begin"/>
      </w:r>
      <w:r>
        <w:instrText xml:space="preserve"> PAGEREF _Toc12 \h </w:instrText>
      </w:r>
      <w:r>
        <w:fldChar w:fldCharType="separate"/>
      </w:r>
      <w:r>
        <w:t xml:space="preserve">13</w:t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_Toc13 </w:instrText>
      </w:r>
      <w:r>
        <w:fldChar w:fldCharType="separate"/>
      </w:r>
      <w:r>
        <w:t xml:space="preserve">4.7. 异常处理</w:t>
      </w:r>
      <w:r>
        <w:fldChar w:fldCharType="end"/>
      </w:r>
      <w:r>
        <w:tab/>
      </w:r>
      <w:r>
        <w:fldChar w:fldCharType="begin"/>
      </w:r>
      <w:r>
        <w:instrText xml:space="preserve"> PAGEREF _Toc13 \h </w:instrText>
      </w:r>
      <w:r>
        <w:fldChar w:fldCharType="separate"/>
      </w:r>
      <w:r>
        <w:t xml:space="preserve">14</w:t>
      </w:r>
      <w:r>
        <w:fldChar w:fldCharType="end"/>
      </w:r>
    </w:p>
    <w:p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_Toc14 </w:instrText>
      </w:r>
      <w:r>
        <w:fldChar w:fldCharType="separate"/>
      </w:r>
      <w:r>
        <w:t xml:space="preserve">5. 界面设定</w:t>
      </w:r>
      <w:r>
        <w:fldChar w:fldCharType="end"/>
      </w:r>
      <w:r>
        <w:tab/>
      </w:r>
      <w:r>
        <w:fldChar w:fldCharType="begin"/>
      </w:r>
      <w:r>
        <w:instrText xml:space="preserve"> PAGEREF _Toc14 \h </w:instrText>
      </w:r>
      <w:r>
        <w:fldChar w:fldCharType="separate"/>
      </w:r>
      <w:r>
        <w:t xml:space="preserve">15</w:t>
      </w:r>
      <w:r>
        <w:fldChar w:fldCharType="end"/>
      </w:r>
    </w:p>
    <w:p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_Toc15 </w:instrText>
      </w:r>
      <w:r>
        <w:fldChar w:fldCharType="separate"/>
      </w:r>
      <w:r>
        <w:t xml:space="preserve">6. 美术需求</w:t>
      </w:r>
      <w:r>
        <w:fldChar w:fldCharType="end"/>
      </w:r>
      <w:r>
        <w:tab/>
      </w:r>
      <w:r>
        <w:fldChar w:fldCharType="begin"/>
      </w:r>
      <w:r>
        <w:instrText xml:space="preserve"> PAGEREF _Toc15 \h </w:instrText>
      </w:r>
      <w:r>
        <w:fldChar w:fldCharType="separate"/>
      </w:r>
      <w:r>
        <w:t xml:space="preserve">16</w:t>
      </w:r>
      <w:r>
        <w:fldChar w:fldCharType="end"/>
      </w:r>
    </w:p>
    <w:p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_Toc16 </w:instrText>
      </w:r>
      <w:r>
        <w:fldChar w:fldCharType="separate"/>
      </w:r>
      <w:r>
        <w:t xml:space="preserve">7. 配置表结构</w:t>
      </w:r>
      <w:r>
        <w:fldChar w:fldCharType="end"/>
      </w:r>
      <w:r>
        <w:tab/>
      </w:r>
      <w:r>
        <w:fldChar w:fldCharType="begin"/>
      </w:r>
      <w:r>
        <w:instrText xml:space="preserve"> PAGEREF _Toc16 \h </w:instrText>
      </w:r>
      <w:r>
        <w:fldChar w:fldCharType="separate"/>
      </w:r>
      <w:r>
        <w:t xml:space="preserve">17</w:t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_Toc17 </w:instrText>
      </w:r>
      <w:r>
        <w:fldChar w:fldCharType="separate"/>
      </w:r>
      <w:r>
        <w:t xml:space="preserve">7.1. 枚举与 Bean</w:t>
      </w:r>
      <w:r>
        <w:fldChar w:fldCharType="end"/>
      </w:r>
      <w:r>
        <w:tab/>
      </w:r>
      <w:r>
        <w:fldChar w:fldCharType="begin"/>
      </w:r>
      <w:r>
        <w:instrText xml:space="preserve"> PAGEREF _Toc17 \h </w:instrText>
      </w:r>
      <w:r>
        <w:fldChar w:fldCharType="separate"/>
      </w:r>
      <w:r>
        <w:t xml:space="preserve">18</w:t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_Toc18 </w:instrText>
      </w:r>
      <w:r>
        <w:fldChar w:fldCharType="separate"/>
      </w:r>
      <w:r>
        <w:t xml:space="preserve">7.2. 业务表</w:t>
      </w:r>
      <w:r>
        <w:fldChar w:fldCharType="end"/>
      </w:r>
      <w:r>
        <w:tab/>
      </w:r>
      <w:r>
        <w:fldChar w:fldCharType="begin"/>
      </w:r>
      <w:r>
        <w:instrText xml:space="preserve"> PAGEREF _Toc18 \h </w:instrText>
      </w:r>
      <w:r>
        <w:fldChar w:fldCharType="separate"/>
      </w:r>
      <w:r>
        <w:t xml:space="preserve">19</w:t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_Toc19 </w:instrText>
      </w:r>
      <w:r>
        <w:fldChar w:fldCharType="separate"/>
      </w:r>
      <w:r>
        <w:t xml:space="preserve">7.3. 当前数据迁移</w:t>
      </w:r>
      <w:r>
        <w:fldChar w:fldCharType="end"/>
      </w:r>
      <w:r>
        <w:tab/>
      </w:r>
      <w:r>
        <w:fldChar w:fldCharType="begin"/>
      </w:r>
      <w:r>
        <w:instrText xml:space="preserve"> PAGEREF _Toc19 \h </w:instrText>
      </w:r>
      <w:r>
        <w:fldChar w:fldCharType="separate"/>
      </w:r>
      <w:r>
        <w:t xml:space="preserve">20</w:t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_Toc20 </w:instrText>
      </w:r>
      <w:r>
        <w:fldChar w:fldCharType="separate"/>
      </w:r>
      <w:r>
        <w:t xml:space="preserve">7.4. 静态校验</w:t>
      </w:r>
      <w:r>
        <w:fldChar w:fldCharType="end"/>
      </w:r>
      <w:r>
        <w:tab/>
      </w:r>
      <w:r>
        <w:fldChar w:fldCharType="begin"/>
      </w:r>
      <w:r>
        <w:instrText xml:space="preserve"> PAGEREF _Toc20 \h </w:instrText>
      </w:r>
      <w:r>
        <w:fldChar w:fldCharType="separate"/>
      </w:r>
      <w:r>
        <w:t xml:space="preserve">21</w:t>
      </w:r>
      <w:r>
        <w:fldChar w:fldCharType="end"/>
      </w:r>
    </w:p>
    <w:p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_Toc21 </w:instrText>
      </w:r>
      <w:r>
        <w:fldChar w:fldCharType="separate"/>
      </w:r>
      <w:r>
        <w:t xml:space="preserve">8. 实施阶段</w:t>
      </w:r>
      <w:r>
        <w:fldChar w:fldCharType="end"/>
      </w:r>
      <w:r>
        <w:tab/>
      </w:r>
      <w:r>
        <w:fldChar w:fldCharType="begin"/>
      </w:r>
      <w:r>
        <w:instrText xml:space="preserve"> PAGEREF _Toc21 \h </w:instrText>
      </w:r>
      <w:r>
        <w:fldChar w:fldCharType="separate"/>
      </w:r>
      <w:r>
        <w:t xml:space="preserve">22</w:t>
      </w:r>
      <w:r>
        <w:fldChar w:fldCharType="end"/>
      </w:r>
    </w:p>
    <w:p>
      <w:pPr>
        <w:pStyle w:val="29"/>
        <w:tabs>
          <w:tab w:val="right" w:leader="dot" w:pos="8306"/>
        </w:tabs>
      </w:pPr>
      <w:r>
        <w:fldChar w:fldCharType="begin"/>
      </w:r>
      <w:r>
        <w:instrText xml:space="preserve"> HYPERLINK \l _Toc22 </w:instrText>
      </w:r>
      <w:r>
        <w:fldChar w:fldCharType="separate"/>
      </w:r>
      <w:r>
        <w:t xml:space="preserve">9. 验收标准</w:t>
      </w:r>
      <w:r>
        <w:fldChar w:fldCharType="end"/>
      </w:r>
      <w:r>
        <w:tab/>
      </w:r>
      <w:r>
        <w:fldChar w:fldCharType="begin"/>
      </w:r>
      <w:r>
        <w:instrText xml:space="preserve"> PAGEREF _Toc22 \h </w:instrText>
      </w:r>
      <w:r>
        <w:fldChar w:fldCharType="separate"/>
      </w:r>
      <w:r>
        <w:t xml:space="preserve">23</w:t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_Toc23 </w:instrText>
      </w:r>
      <w:r>
        <w:fldChar w:fldCharType="separate"/>
      </w:r>
      <w:r>
        <w:t xml:space="preserve">9.1. 表结构阶段</w:t>
      </w:r>
      <w:r>
        <w:fldChar w:fldCharType="end"/>
      </w:r>
      <w:r>
        <w:tab/>
      </w:r>
      <w:r>
        <w:fldChar w:fldCharType="begin"/>
      </w:r>
      <w:r>
        <w:instrText xml:space="preserve"> PAGEREF _Toc23 \h </w:instrText>
      </w:r>
      <w:r>
        <w:fldChar w:fldCharType="separate"/>
      </w:r>
      <w:r>
        <w:t xml:space="preserve">24</w:t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_Toc24 </w:instrText>
      </w:r>
      <w:r>
        <w:fldChar w:fldCharType="separate"/>
      </w:r>
      <w:r>
        <w:t xml:space="preserve">9.2. 代码与自动化阶段</w:t>
      </w:r>
      <w:r>
        <w:fldChar w:fldCharType="end"/>
      </w:r>
      <w:r>
        <w:tab/>
      </w:r>
      <w:r>
        <w:fldChar w:fldCharType="begin"/>
      </w:r>
      <w:r>
        <w:instrText xml:space="preserve"> PAGEREF _Toc24 \h </w:instrText>
      </w:r>
      <w:r>
        <w:fldChar w:fldCharType="separate"/>
      </w:r>
      <w:r>
        <w:t xml:space="preserve">25</w:t>
      </w:r>
      <w:r>
        <w:fldChar w:fldCharType="end"/>
      </w:r>
    </w:p>
    <w:p>
      <w:pPr>
        <w:pStyle w:val="32"/>
        <w:tabs>
          <w:tab w:val="right" w:leader="dot" w:pos="8306"/>
        </w:tabs>
      </w:pPr>
      <w:r>
        <w:fldChar w:fldCharType="begin"/>
      </w:r>
      <w:r>
        <w:instrText xml:space="preserve"> HYPERLINK \l _Toc25 </w:instrText>
      </w:r>
      <w:r>
        <w:fldChar w:fldCharType="separate"/>
      </w:r>
      <w:r>
        <w:t xml:space="preserve">9.3. Unity 与人工阶段</w:t>
      </w:r>
      <w:r>
        <w:fldChar w:fldCharType="end"/>
      </w:r>
      <w:r>
        <w:tab/>
      </w:r>
      <w:r>
        <w:fldChar w:fldCharType="begin"/>
      </w:r>
      <w:r>
        <w:instrText xml:space="preserve"> PAGEREF _Toc25 \h </w:instrText>
      </w:r>
      <w:r>
        <w:fldChar w:fldCharType="separate"/>
      </w:r>
      <w:r>
        <w:t xml:space="preserve">26</w:t>
      </w:r>
      <w:r>
        <w:fldChar w:fldCharType="end"/>
      </w:r>
      <w:r>
        <w:fldChar w:fldCharType="end"/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本案用于统一技能能力拆分、局内三选一和 Luban 配置边界。首个实施批只调整现有升级池与升级选项，不为尚未出现的组合效果、等级里程碑、前置和互斥关系预建空表。</w:t>
      </w:r>
    </w:p>
    <w:p>
      <w:bookmarkStart w:id="1" w:name="_Toc1"/>
      <w:pPr>
        <w:pStyle w:val="3"/>
        <w:numPr>
          <w:ilvl w:val="0"/>
          <w:numId w:val="7"/>
        </w:numPr>
        <w:tabs>
          <w:tab w:val="clear" w:pos="720"/>
        </w:tabs>
        <w:bidi w:val="0"/>
        <w:ind w:left="425" w:hanging="425" w:leftChars="0" w:firstLineChars="0"/>
        <w:pageBreakBefore w:val="true"/>
      </w:pPr>
      <w:r>
        <w:t>设计目的</w:t>
      </w:r>
      <w:bookmarkEnd w:id="1"/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1. 将三选一权重归属升级池，使同一选项未来进入不同池时可以使用不同权重。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2. 为合法候选不足三项的情况提供配置化处理，避免当前运行时直接抛出异常并中断单局。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3. 保留当前技能解锁、属性强化和即时恢复三种成熟结构，不因未来扩展提前增加薄表和空字段。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4. 配置数据只由 Excel 经 Luban 生成；运行时不复制概率、数量、文本、资源或效果数值。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5. 技能投递、组合效果、状态和召唤仍按独立阶段设计，只有出现真实数据需求后才建立对应表。</w:t>
      </w:r>
    </w:p>
    <w:p>
      <w:bookmarkStart w:id="2" w:name="_Toc2"/>
      <w:pPr>
        <w:pStyle w:val="3"/>
        <w:numPr>
          <w:ilvl w:val="0"/>
          <w:numId w:val="7"/>
        </w:numPr>
        <w:tabs>
          <w:tab w:val="clear" w:pos="720"/>
        </w:tabs>
        <w:bidi w:val="0"/>
        <w:ind w:left="425" w:hanging="425" w:leftChars="0" w:firstLineChars="0"/>
      </w:pPr>
      <w:r>
        <w:t>名词解释</w:t>
      </w:r>
      <w:bookmarkEnd w:id="2"/>
    </w:p>
    <w:tbl>
      <w:tblPr>
        <w:tblStyle w:val="37"/>
        <w:tblW w:type="dxa" w:w="8305"/>
        <w:tblLook w:firstColumn="1" w:firstRow="1" w:lastColumn="0" w:lastRow="0" w:noHBand="0" w:noVBand="1" w:val="04A0"/>
        <w:tblBorders>
          <w:top w:val="single" w:sz="4" w:space="0" w:color="AFCBD0"/>
          <w:left w:val="single" w:sz="4" w:space="0" w:color="AFCBD0"/>
          <w:bottom w:val="single" w:sz="4" w:space="0" w:color="AFCBD0"/>
          <w:right w:val="single" w:sz="4" w:space="0" w:color="AFCBD0"/>
          <w:insideH w:val="single" w:sz="4" w:space="0" w:color="AFCBD0"/>
          <w:insideV w:val="single" w:sz="4" w:space="0" w:color="AFCBD0"/>
        </w:tblBorders>
        <w:tblLayout w:type="autofit"/>
        <w:jc w:val="center"/>
      </w:tblPr>
      <w:tblGrid>
        <w:gridCol w:w="1188"/>
        <w:gridCol w:w="7117"/>
      </w:tblGrid>
      <w:tr>
        <w:trPr>
          <w:trHeight w:val="0" w:hRule="atLeast"/>
        </w:trPr>
        <w:tc>
          <w:tcPr>
            <w:tcW w:type="dxa" w:w="11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名词</w:t>
            </w:r>
          </w:p>
        </w:tc>
        <w:tc>
          <w:tcPr>
            <w:tcW w:type="dxa" w:w="71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定义</w:t>
            </w:r>
          </w:p>
        </w:tc>
      </w:tr>
      <w:tr>
        <w:trPr>
          <w:trHeight w:val="0" w:hRule="atLeast"/>
        </w:trPr>
        <w:tc>
          <w:tcPr>
            <w:tcW w:type="dxa" w:w="11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升级池</w:t>
            </w:r>
          </w:p>
        </w:tc>
        <w:tc>
          <w:tcPr>
            <w:tcW w:type="dxa" w:w="71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某关卡或模式允许参与抽取的升级选项集合，持有展示数量、耗尽策略和选项权重。</w:t>
            </w:r>
          </w:p>
        </w:tc>
      </w:tr>
      <w:tr>
        <w:trPr>
          <w:trHeight w:val="0" w:hRule="atLeast"/>
        </w:trPr>
        <w:tc>
          <w:tcPr>
            <w:tcW w:type="dxa" w:w="11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升级选项</w:t>
            </w:r>
          </w:p>
        </w:tc>
        <w:tc>
          <w:tcPr>
            <w:tcW w:type="dxa" w:w="71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玩家在升级面板中选择的成长项，当前支持技能解锁、属性强化和即时恢复。</w:t>
            </w:r>
          </w:p>
        </w:tc>
      </w:tr>
      <w:tr>
        <w:trPr>
          <w:trHeight w:val="0" w:hRule="atLeast"/>
        </w:trPr>
        <w:tc>
          <w:tcPr>
            <w:tcW w:type="dxa" w:w="11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池条目</w:t>
            </w:r>
          </w:p>
        </w:tc>
        <w:tc>
          <w:tcPr>
            <w:tcW w:type="dxa" w:w="71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升级池内的 optionId + weight 组合；权重属于池与选项的关系。</w:t>
            </w:r>
          </w:p>
        </w:tc>
      </w:tr>
      <w:tr>
        <w:trPr>
          <w:trHeight w:val="0" w:hRule="atLeast"/>
        </w:trPr>
        <w:tc>
          <w:tcPr>
            <w:tcW w:type="dxa" w:w="11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合法候选</w:t>
            </w:r>
          </w:p>
        </w:tc>
        <w:tc>
          <w:tcPr>
            <w:tcW w:type="dxa" w:w="71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未满级、当前效果可用且位于本池中的升级选项。</w:t>
            </w:r>
          </w:p>
        </w:tc>
      </w:tr>
      <w:tr>
        <w:trPr>
          <w:trHeight w:val="0" w:hRule="atLeast"/>
        </w:trPr>
        <w:tc>
          <w:tcPr>
            <w:tcW w:type="dxa" w:w="11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无放回抽取</w:t>
            </w:r>
          </w:p>
        </w:tc>
        <w:tc>
          <w:tcPr>
            <w:tcW w:type="dxa" w:w="71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同一面板已经抽中的选项从候选集中移除，不会重复出现。</w:t>
            </w:r>
          </w:p>
        </w:tc>
      </w:tr>
      <w:tr>
        <w:trPr>
          <w:trHeight w:val="0" w:hRule="atLeast"/>
        </w:trPr>
        <w:tc>
          <w:tcPr>
            <w:tcW w:type="dxa" w:w="11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耗尽策略</w:t>
            </w:r>
          </w:p>
        </w:tc>
        <w:tc>
          <w:tcPr>
            <w:tcW w:type="dxa" w:w="71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合法候选少于 drawCount 时，由配置决定降量展示、切换后备池或结束本次选择。</w:t>
            </w:r>
          </w:p>
        </w:tc>
      </w:tr>
      <w:tr>
        <w:trPr>
          <w:trHeight w:val="0" w:hRule="atLeast"/>
        </w:trPr>
        <w:tc>
          <w:tcPr>
            <w:tcW w:type="dxa" w:w="11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确定性随机</w:t>
            </w:r>
          </w:p>
        </w:tc>
        <w:tc>
          <w:tcPr>
            <w:tcW w:type="dxa" w:w="71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相同随机种子、选择代次和候选数据产生相同抽取结果。</w:t>
            </w:r>
          </w:p>
        </w:tc>
      </w:tr>
      <w:tr>
        <w:trPr>
          <w:trHeight w:val="0" w:hRule="atLeast"/>
        </w:trPr>
        <w:tc>
          <w:tcPr>
            <w:tcW w:type="dxa" w:w="118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扩展关系</w:t>
            </w:r>
          </w:p>
        </w:tc>
        <w:tc>
          <w:tcPr>
            <w:tcW w:type="dxa" w:w="711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前置、互斥、多效果和等级里程碑等尚无正式数据的后续能力，不进入本期源表。</w:t>
            </w:r>
          </w:p>
        </w:tc>
      </w:tr>
    </w:tbl>
    <w:p>
      <w:bookmarkStart w:id="3" w:name="_Toc3"/>
      <w:pPr>
        <w:pStyle w:val="3"/>
        <w:numPr>
          <w:ilvl w:val="0"/>
          <w:numId w:val="7"/>
        </w:numPr>
        <w:tabs>
          <w:tab w:val="clear" w:pos="720"/>
        </w:tabs>
        <w:bidi w:val="0"/>
        <w:ind w:left="425" w:hanging="425" w:leftChars="0" w:firstLineChars="0"/>
      </w:pPr>
      <w:r>
        <w:t>流程介绍</w:t>
      </w:r>
      <w:bookmarkEnd w:id="3"/>
    </w:p>
    <w:p>
      <w:bookmarkStart w:id="4" w:name="_Toc4"/>
      <w:pPr>
        <w:pStyle w:val="4"/>
        <w:numPr>
          <w:ilvl w:val="1"/>
          <w:numId w:val="7"/>
        </w:numPr>
        <w:bidi w:val="0"/>
        <w:spacing w:after="156"/>
        <w:ind w:left="285" w:hanging="225" w:leftChars="0" w:firstLineChars="0"/>
        <w:outlineLvl w:val="1"/>
      </w:pPr>
      <w:r>
        <w:t>局内三选一流程图</w:t>
      </w:r>
      <w:bookmarkEnd w:id="4"/>
    </w:p>
    <w:p>
      <w:pPr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5273675" cy="75809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kill-upgrade-selection-flow-V1.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75809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firstLine="0" w:firstLineChars="0"/>
        <w:jc w:val="center"/>
      </w:pPr>
      <w:r>
        <w:rPr>
          <w:rFonts w:ascii="微软雅黑" w:hAnsi="微软雅黑" w:eastAsia="微软雅黑"/>
          <w:b w:val="0"/>
          <w:color w:val="595959"/>
          <w:sz w:val="18"/>
        </w:rPr>
        <w:t>局内三选一流程图</w:t>
      </w:r>
    </w:p>
    <w:p>
      <w:bookmarkStart w:id="5" w:name="_Toc5"/>
      <w:pPr>
        <w:pStyle w:val="4"/>
        <w:numPr>
          <w:ilvl w:val="1"/>
          <w:numId w:val="7"/>
        </w:numPr>
        <w:bidi w:val="0"/>
        <w:spacing w:after="156"/>
        <w:ind w:left="285" w:hanging="225" w:leftChars="0" w:firstLineChars="0"/>
        <w:outlineLvl w:val="1"/>
      </w:pPr>
      <w:r>
        <w:t>流程说明</w:t>
      </w:r>
      <w:bookmarkEnd w:id="5"/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1. 角色经验达到升级条件后暂停战斗推进，读取关卡明确引用的 TbUpgradePool。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2. 按 optionId 升序建立候选，过滤已达到 maxRank 的选项和当前不可执行的即时效果。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3. 候选不少于 drawCount 时，使用本局确定性随机源按池条目权重无放回抽取。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4. 候选少于 drawCount 时，只执行表内 exhaustionPolicy。本期正式池使用 ReduceOfferCount：剩余几项就展示几项，零项时结束本次选择。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5. 玩家选择后锁定本代面板，校验请求仍然有效，再执行该选项唯一类型对应的效果。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6. 效果成功后提交升级等级和局内状态，关闭面板并恢复战斗；效果失败则不增加等级，并保留明确错误。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7. 即时恢复只在选择当次执行，读档或升级账本重建时不得重复结算。</w:t>
      </w:r>
    </w:p>
    <w:p>
      <w:bookmarkStart w:id="6" w:name="_Toc6"/>
      <w:pPr>
        <w:pStyle w:val="3"/>
        <w:numPr>
          <w:ilvl w:val="0"/>
          <w:numId w:val="7"/>
        </w:numPr>
        <w:tabs>
          <w:tab w:val="clear" w:pos="720"/>
        </w:tabs>
        <w:bidi w:val="0"/>
        <w:ind w:left="425" w:hanging="425" w:leftChars="0" w:firstLineChars="0"/>
      </w:pPr>
      <w:r>
        <w:t>功能设定</w:t>
      </w:r>
      <w:bookmarkEnd w:id="6"/>
    </w:p>
    <w:p>
      <w:bookmarkStart w:id="7" w:name="_Toc7"/>
      <w:pPr>
        <w:pStyle w:val="4"/>
        <w:numPr>
          <w:ilvl w:val="1"/>
          <w:numId w:val="7"/>
        </w:numPr>
        <w:bidi w:val="0"/>
        <w:spacing w:after="156"/>
        <w:ind w:left="285" w:hanging="225" w:leftChars="0" w:firstLineChars="0"/>
        <w:outlineLvl w:val="1"/>
      </w:pPr>
      <w:r>
        <w:t>系统范围</w:t>
      </w:r>
      <w:bookmarkEnd w:id="7"/>
    </w:p>
    <w:tbl>
      <w:tblPr>
        <w:tblStyle w:val="37"/>
        <w:tblW w:type="dxa" w:w="8305"/>
        <w:tblLook w:firstColumn="1" w:firstRow="1" w:lastColumn="0" w:lastRow="0" w:noHBand="0" w:noVBand="1" w:val="04A0"/>
        <w:tblBorders>
          <w:top w:val="single" w:sz="4" w:space="0" w:color="AFCBD0"/>
          <w:left w:val="single" w:sz="4" w:space="0" w:color="AFCBD0"/>
          <w:bottom w:val="single" w:sz="4" w:space="0" w:color="AFCBD0"/>
          <w:right w:val="single" w:sz="4" w:space="0" w:color="AFCBD0"/>
          <w:insideH w:val="single" w:sz="4" w:space="0" w:color="AFCBD0"/>
          <w:insideV w:val="single" w:sz="4" w:space="0" w:color="AFCBD0"/>
        </w:tblBorders>
        <w:tblLayout w:type="autofit"/>
        <w:jc w:val="center"/>
      </w:tblPr>
      <w:tblGrid>
        <w:gridCol w:w="998"/>
        <w:gridCol w:w="4313"/>
        <w:gridCol w:w="2994"/>
      </w:tblGrid>
      <w:tr>
        <w:trPr>
          <w:trHeight w:val="0" w:hRule="atLeast"/>
        </w:trPr>
        <w:tc>
          <w:tcPr>
            <w:tcW w:type="dxa" w:w="9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范围</w:t>
            </w:r>
          </w:p>
        </w:tc>
        <w:tc>
          <w:tcPr>
            <w:tcW w:type="dxa" w:w="431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本案处理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本案不处理</w:t>
            </w:r>
          </w:p>
        </w:tc>
      </w:tr>
      <w:tr>
        <w:trPr>
          <w:trHeight w:val="0" w:hRule="atLeast"/>
        </w:trPr>
        <w:tc>
          <w:tcPr>
            <w:tcW w:type="dxa" w:w="9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三选一</w:t>
            </w:r>
          </w:p>
        </w:tc>
        <w:tc>
          <w:tcPr>
            <w:tcW w:type="dxa" w:w="431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权重归池、确定性抽取、满级过滤、效果可用性、耗尽策略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刷新、锁定、重掷、付费选项</w:t>
            </w:r>
          </w:p>
        </w:tc>
      </w:tr>
      <w:tr>
        <w:trPr>
          <w:trHeight w:val="0" w:hRule="atLeast"/>
        </w:trPr>
        <w:tc>
          <w:tcPr>
            <w:tcW w:type="dxa" w:w="9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升级效果</w:t>
            </w:r>
          </w:p>
        </w:tc>
        <w:tc>
          <w:tcPr>
            <w:tcW w:type="dxa" w:w="431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现有技能解锁、属性强化、即时恢复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多效果组合、Buff、位移、护盾、召唤</w:t>
            </w:r>
          </w:p>
        </w:tc>
      </w:tr>
      <w:tr>
        <w:trPr>
          <w:trHeight w:val="0" w:hRule="atLeast"/>
        </w:trPr>
        <w:tc>
          <w:tcPr>
            <w:tcW w:type="dxa" w:w="9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技能架构</w:t>
            </w:r>
          </w:p>
        </w:tc>
        <w:tc>
          <w:tcPr>
            <w:tcW w:type="dxa" w:w="431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保留组合式长期方向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本批新增投递器、弹体或状态表</w:t>
            </w:r>
          </w:p>
        </w:tc>
      </w:tr>
      <w:tr>
        <w:trPr>
          <w:trHeight w:val="0" w:hRule="atLeast"/>
        </w:trPr>
        <w:tc>
          <w:tcPr>
            <w:tcW w:type="dxa" w:w="9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UI</w:t>
            </w:r>
          </w:p>
        </w:tc>
        <w:tc>
          <w:tcPr>
            <w:tcW w:type="dxa" w:w="431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1～3 张卡片的数据与交互契约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本批重做 Prefab 和美术资源</w:t>
            </w:r>
          </w:p>
        </w:tc>
      </w:tr>
      <w:tr>
        <w:trPr>
          <w:trHeight w:val="0" w:hRule="atLeast"/>
        </w:trPr>
        <w:tc>
          <w:tcPr>
            <w:tcW w:type="dxa" w:w="9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存档</w:t>
            </w:r>
          </w:p>
        </w:tc>
        <w:tc>
          <w:tcPr>
            <w:tcW w:type="dxa" w:w="431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保留现有升级等级语义</w:t>
            </w:r>
          </w:p>
        </w:tc>
        <w:tc>
          <w:tcPr>
            <w:tcW w:type="dxa" w:w="299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本批定义跨版本存档迁移</w:t>
            </w:r>
          </w:p>
        </w:tc>
      </w:tr>
    </w:tbl>
    <w:p>
      <w:bookmarkStart w:id="8" w:name="_Toc8"/>
      <w:pPr>
        <w:pStyle w:val="4"/>
        <w:numPr>
          <w:ilvl w:val="1"/>
          <w:numId w:val="7"/>
        </w:numPr>
        <w:bidi w:val="0"/>
        <w:spacing w:after="156"/>
        <w:ind w:left="285" w:hanging="225" w:leftChars="0" w:firstLineChars="0"/>
        <w:outlineLvl w:val="1"/>
      </w:pPr>
      <w:r>
        <w:t>当前基础与参考结论</w:t>
      </w:r>
      <w:bookmarkEnd w:id="8"/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当前正式链路为：TbSkill → TbSkillCombat → CombatRunDefinition → CombatRunModel → 升级面板。升级池 1 包含 9 个选项：4 个技能解锁、4 个属性强化、1 个即时恢复；每次按权重无放回展示 3 项。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旧项目《技能类型参数.xlsx》和 docs/参考_dataTable 只用于能力覆盖与关系设计，不迁入旧 ID、旧资源名和匿名参数。参考结构中可以直接落地的是“池持有带权条目”；前置图、互斥组、等级效果和效果分组只有在当前项目出现真实数据时再引入。</w:t>
      </w:r>
    </w:p>
    <w:tbl>
      <w:tblPr>
        <w:tblStyle w:val="37"/>
        <w:tblW w:type="dxa" w:w="8305"/>
        <w:tblLook w:firstColumn="1" w:firstRow="1" w:lastColumn="0" w:lastRow="0" w:noHBand="0" w:noVBand="1" w:val="04A0"/>
        <w:tblBorders>
          <w:top w:val="single" w:sz="4" w:space="0" w:color="AFCBD0"/>
          <w:left w:val="single" w:sz="4" w:space="0" w:color="AFCBD0"/>
          <w:bottom w:val="single" w:sz="4" w:space="0" w:color="AFCBD0"/>
          <w:right w:val="single" w:sz="4" w:space="0" w:color="AFCBD0"/>
          <w:insideH w:val="single" w:sz="4" w:space="0" w:color="AFCBD0"/>
          <w:insideV w:val="single" w:sz="4" w:space="0" w:color="AFCBD0"/>
        </w:tblBorders>
        <w:tblLayout w:type="autofit"/>
        <w:jc w:val="center"/>
      </w:tblPr>
      <w:tblGrid>
        <w:gridCol w:w="1810"/>
        <w:gridCol w:w="2446"/>
        <w:gridCol w:w="4049"/>
      </w:tblGrid>
      <w:tr>
        <w:trPr>
          <w:trHeight w:val="0" w:hRule="atLeast"/>
        </w:trPr>
        <w:tc>
          <w:tcPr>
            <w:tcW w:type="dxa" w:w="181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参考结构</w:t>
            </w:r>
          </w:p>
        </w:tc>
        <w:tc>
          <w:tcPr>
            <w:tcW w:type="dxa" w:w="244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本期处理</w:t>
            </w:r>
          </w:p>
        </w:tc>
        <w:tc>
          <w:tcPr>
            <w:tcW w:type="dxa" w:w="40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后续触发条件</w:t>
            </w:r>
          </w:p>
        </w:tc>
      </w:tr>
      <w:tr>
        <w:trPr>
          <w:trHeight w:val="0" w:hRule="atLeast"/>
        </w:trPr>
        <w:tc>
          <w:tcPr>
            <w:tcW w:type="dxa" w:w="181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池与带权条目</w:t>
            </w:r>
          </w:p>
        </w:tc>
        <w:tc>
          <w:tcPr>
            <w:tcW w:type="dxa" w:w="244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立即采用，权重从选项迁入池条目</w:t>
            </w:r>
          </w:p>
        </w:tc>
        <w:tc>
          <w:tcPr>
            <w:tcW w:type="dxa" w:w="40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无</w:t>
            </w:r>
          </w:p>
        </w:tc>
      </w:tr>
      <w:tr>
        <w:trPr>
          <w:trHeight w:val="0" w:hRule="atLeast"/>
        </w:trPr>
        <w:tc>
          <w:tcPr>
            <w:tcW w:type="dxa" w:w="181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前置有向图</w:t>
            </w:r>
          </w:p>
        </w:tc>
        <w:tc>
          <w:tcPr>
            <w:tcW w:type="dxa" w:w="244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只保留设计原则，不建字段</w:t>
            </w:r>
          </w:p>
        </w:tc>
        <w:tc>
          <w:tcPr>
            <w:tcW w:type="dxa" w:w="40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出现首组真实技能前置链</w:t>
            </w:r>
          </w:p>
        </w:tc>
      </w:tr>
      <w:tr>
        <w:trPr>
          <w:trHeight w:val="0" w:hRule="atLeast"/>
        </w:trPr>
        <w:tc>
          <w:tcPr>
            <w:tcW w:type="dxa" w:w="181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互斥分组</w:t>
            </w:r>
          </w:p>
        </w:tc>
        <w:tc>
          <w:tcPr>
            <w:tcW w:type="dxa" w:w="244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只保留设计原则，不建表</w:t>
            </w:r>
          </w:p>
        </w:tc>
        <w:tc>
          <w:tcPr>
            <w:tcW w:type="dxa" w:w="40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出现首组真实分支互斥</w:t>
            </w:r>
          </w:p>
        </w:tc>
      </w:tr>
      <w:tr>
        <w:trPr>
          <w:trHeight w:val="0" w:hRule="atLeast"/>
        </w:trPr>
        <w:tc>
          <w:tcPr>
            <w:tcW w:type="dxa" w:w="181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等级里程碑</w:t>
            </w:r>
          </w:p>
        </w:tc>
        <w:tc>
          <w:tcPr>
            <w:tcW w:type="dxa" w:w="244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不建空结构</w:t>
            </w:r>
          </w:p>
        </w:tc>
        <w:tc>
          <w:tcPr>
            <w:tcW w:type="dxa" w:w="40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同一选项不同等级需要不同效果</w:t>
            </w:r>
          </w:p>
        </w:tc>
      </w:tr>
      <w:tr>
        <w:trPr>
          <w:trHeight w:val="0" w:hRule="atLeast"/>
        </w:trPr>
        <w:tc>
          <w:tcPr>
            <w:tcW w:type="dxa" w:w="181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多效果组合</w:t>
            </w:r>
          </w:p>
        </w:tc>
        <w:tc>
          <w:tcPr>
            <w:tcW w:type="dxa" w:w="244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不拆效果表</w:t>
            </w:r>
          </w:p>
        </w:tc>
        <w:tc>
          <w:tcPr>
            <w:tcW w:type="dxa" w:w="40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一个选项需要同时执行两种以上效果，或效果需要跨选项复用</w:t>
            </w:r>
          </w:p>
        </w:tc>
      </w:tr>
      <w:tr>
        <w:trPr>
          <w:trHeight w:val="0" w:hRule="atLeast"/>
        </w:trPr>
        <w:tc>
          <w:tcPr>
            <w:tcW w:type="dxa" w:w="181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技能、Buff、子弹分表</w:t>
            </w:r>
          </w:p>
        </w:tc>
        <w:tc>
          <w:tcPr>
            <w:tcW w:type="dxa" w:w="244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作为技能系统长期方向</w:t>
            </w:r>
          </w:p>
        </w:tc>
        <w:tc>
          <w:tcPr>
            <w:tcW w:type="dxa" w:w="404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对应玩法进入正式开发阶段</w:t>
            </w:r>
          </w:p>
        </w:tc>
      </w:tr>
    </w:tbl>
    <w:p>
      <w:pPr/>
      <w:r>
        <w:rPr>
          <w:rFonts w:ascii="微软雅黑" w:hAnsi="微软雅黑" w:eastAsia="微软雅黑"/>
          <w:b w:val="0"/>
          <w:color w:val="333333"/>
          <w:sz w:val="18"/>
        </w:rPr>
        <w:t>规范要求定向审查的 Tower 参考工程的 Assets 目录 当前不可访问。本版记录该事实，并以当前项目的单机范围、Luban 唯一数据源、Entities 1.0、YooAsset 2.3.19 和既有测试体系为准；正式技能架构扩展前再次检查该路径。</w:t>
      </w:r>
    </w:p>
    <w:p>
      <w:bookmarkStart w:id="9" w:name="_Toc9"/>
      <w:pPr>
        <w:pStyle w:val="4"/>
        <w:numPr>
          <w:ilvl w:val="1"/>
          <w:numId w:val="7"/>
        </w:numPr>
        <w:bidi w:val="0"/>
        <w:spacing w:after="156"/>
        <w:ind w:left="285" w:hanging="225" w:leftChars="0" w:firstLineChars="0"/>
        <w:outlineLvl w:val="1"/>
      </w:pPr>
      <w:r>
        <w:t>技能组合方向</w:t>
      </w:r>
      <w:bookmarkEnd w:id="9"/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完整技能长期按五段组合：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技能身份 → 施法与目标 → 投递器与发射图案 → 命中效果 → 触发与修饰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例如“环形火球命中后爆炸并附加灼烧”应由 Projectile 投递、Radial 图案、弹体定义、爆炸效果和灼烧状态组合，而不是新增一个“环形爆炸灼烧技能类型”。该方向用于后续技能模块，不要求本期三选一提前建立对应空表。</w:t>
      </w:r>
    </w:p>
    <w:tbl>
      <w:tblPr>
        <w:tblStyle w:val="37"/>
        <w:tblW w:type="dxa" w:w="8305"/>
        <w:tblLook w:firstColumn="1" w:firstRow="1" w:lastColumn="0" w:lastRow="0" w:noHBand="0" w:noVBand="1" w:val="04A0"/>
        <w:tblBorders>
          <w:top w:val="single" w:sz="4" w:space="0" w:color="AFCBD0"/>
          <w:left w:val="single" w:sz="4" w:space="0" w:color="AFCBD0"/>
          <w:bottom w:val="single" w:sz="4" w:space="0" w:color="AFCBD0"/>
          <w:right w:val="single" w:sz="4" w:space="0" w:color="AFCBD0"/>
          <w:insideH w:val="single" w:sz="4" w:space="0" w:color="AFCBD0"/>
          <w:insideV w:val="single" w:sz="4" w:space="0" w:color="AFCBD0"/>
        </w:tblBorders>
        <w:tblLayout w:type="autofit"/>
        <w:jc w:val="center"/>
      </w:tblPr>
      <w:tblGrid>
        <w:gridCol w:w="1177"/>
        <w:gridCol w:w="5130"/>
        <w:gridCol w:w="1998"/>
      </w:tblGrid>
      <w:tr>
        <w:trPr>
          <w:trHeight w:val="0" w:hRule="atLeast"/>
        </w:trPr>
        <w:tc>
          <w:tcPr>
            <w:tcW w:type="dxa" w:w="117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模块</w:t>
            </w:r>
          </w:p>
        </w:tc>
        <w:tc>
          <w:tcPr>
            <w:tcW w:type="dxa" w:w="51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负责</w:t>
            </w:r>
          </w:p>
        </w:tc>
        <w:tc>
          <w:tcPr>
            <w:tcW w:type="dxa" w:w="19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不负责</w:t>
            </w:r>
          </w:p>
        </w:tc>
      </w:tr>
      <w:tr>
        <w:trPr>
          <w:trHeight w:val="0" w:hRule="atLeast"/>
        </w:trPr>
        <w:tc>
          <w:tcPr>
            <w:tcW w:type="dxa" w:w="117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技能定义</w:t>
            </w:r>
          </w:p>
        </w:tc>
        <w:tc>
          <w:tcPr>
            <w:tcW w:type="dxa" w:w="51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身份、战斗配置和表现集合引用</w:t>
            </w:r>
          </w:p>
        </w:tc>
        <w:tc>
          <w:tcPr>
            <w:tcW w:type="dxa" w:w="19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运行时冷却与命中状态</w:t>
            </w:r>
          </w:p>
        </w:tc>
      </w:tr>
      <w:tr>
        <w:trPr>
          <w:trHeight w:val="0" w:hRule="atLeast"/>
        </w:trPr>
        <w:tc>
          <w:tcPr>
            <w:tcW w:type="dxa" w:w="117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施法与目标</w:t>
            </w:r>
          </w:p>
        </w:tc>
        <w:tc>
          <w:tcPr>
            <w:tcW w:type="dxa" w:w="51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间隔、前后摇、阵营、范围、数量和排序</w:t>
            </w:r>
          </w:p>
        </w:tc>
        <w:tc>
          <w:tcPr>
            <w:tcW w:type="dxa" w:w="19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弹体运动和伤害结算</w:t>
            </w:r>
          </w:p>
        </w:tc>
      </w:tr>
      <w:tr>
        <w:trPr>
          <w:trHeight w:val="0" w:hRule="atLeast"/>
        </w:trPr>
        <w:tc>
          <w:tcPr>
            <w:tcW w:type="dxa" w:w="117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投递与图案</w:t>
            </w:r>
          </w:p>
        </w:tc>
        <w:tc>
          <w:tcPr>
            <w:tcW w:type="dxa" w:w="51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Melee、Projectile、TargetArea、Beam、Summon 的生成形态</w:t>
            </w:r>
          </w:p>
        </w:tc>
        <w:tc>
          <w:tcPr>
            <w:tcW w:type="dxa" w:w="19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直接修改生命和属性</w:t>
            </w:r>
          </w:p>
        </w:tc>
      </w:tr>
      <w:tr>
        <w:trPr>
          <w:trHeight w:val="0" w:hRule="atLeast"/>
        </w:trPr>
        <w:tc>
          <w:tcPr>
            <w:tcW w:type="dxa" w:w="117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效果与状态</w:t>
            </w:r>
          </w:p>
        </w:tc>
        <w:tc>
          <w:tcPr>
            <w:tcW w:type="dxa" w:w="51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伤害、治疗、属性、控制、护盾、子技能及状态生命周期</w:t>
            </w:r>
          </w:p>
        </w:tc>
        <w:tc>
          <w:tcPr>
            <w:tcW w:type="dxa" w:w="19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加载表现资源</w:t>
            </w:r>
          </w:p>
        </w:tc>
      </w:tr>
      <w:tr>
        <w:trPr>
          <w:trHeight w:val="0" w:hRule="atLeast"/>
        </w:trPr>
        <w:tc>
          <w:tcPr>
            <w:tcW w:type="dxa" w:w="117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表现事件</w:t>
            </w:r>
          </w:p>
        </w:tc>
        <w:tc>
          <w:tcPr>
            <w:tcW w:type="dxa" w:w="513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飞行、命中、区域、状态和召唤的表现载荷</w:t>
            </w:r>
          </w:p>
        </w:tc>
        <w:tc>
          <w:tcPr>
            <w:tcW w:type="dxa" w:w="19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参与确定性数值结算</w:t>
            </w:r>
          </w:p>
        </w:tc>
      </w:tr>
    </w:tbl>
    <w:p>
      <w:bookmarkStart w:id="10" w:name="_Toc10"/>
      <w:pPr>
        <w:pStyle w:val="4"/>
        <w:numPr>
          <w:ilvl w:val="1"/>
          <w:numId w:val="7"/>
        </w:numPr>
        <w:bidi w:val="0"/>
        <w:spacing w:after="156"/>
        <w:ind w:left="285" w:hanging="225" w:leftChars="0" w:firstLineChars="0"/>
        <w:outlineLvl w:val="1"/>
      </w:pPr>
      <w:r>
        <w:t>三选一候选规则</w:t>
      </w:r>
      <w:bookmarkEnd w:id="10"/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候选资格固定按以下顺序计算，UI 不参与资格判断：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1. 从 TbUpgradePool.entries 取得选项引用和池内权重。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2. 排除 currentRank &gt;= maxRank 的选项。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3. 排除当前不可执行的即时效果；首批仅“满生命时不出现立即恢复”。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4. 按 optionId 稳定排序后再进行权重抽取，避免容器遍历顺序改变结果。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5. 同一面板使用无放回抽取，不出现重复选项。</w:t>
      </w:r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前置和互斥不进入本期运行逻辑。后续确有数据时，先补方案与表结构，再接入筛选顺序；不得在代码中临时判断指定选项 ID。</w:t>
      </w:r>
    </w:p>
    <w:p>
      <w:bookmarkStart w:id="11" w:name="_Toc11"/>
      <w:pPr>
        <w:pStyle w:val="4"/>
        <w:numPr>
          <w:ilvl w:val="1"/>
          <w:numId w:val="7"/>
        </w:numPr>
        <w:bidi w:val="0"/>
        <w:spacing w:after="156"/>
        <w:ind w:left="285" w:hanging="225" w:leftChars="0" w:firstLineChars="0"/>
        <w:outlineLvl w:val="1"/>
      </w:pPr>
      <w:r>
        <w:t>权重与耗尽规则</w:t>
      </w:r>
      <w:bookmarkEnd w:id="11"/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权重属于 UpgradePoolEntry。同一选项未来进入多个池时，可以在不同关卡、角色或模式中配置不同权重。权重必须为正整数；禁用选项通过移出池处理，不使用零权重表达开关。</w:t>
      </w:r>
    </w:p>
    <w:tbl>
      <w:tblPr>
        <w:tblStyle w:val="37"/>
        <w:tblW w:type="dxa" w:w="8305"/>
        <w:tblLook w:firstColumn="1" w:firstRow="1" w:lastColumn="0" w:lastRow="0" w:noHBand="0" w:noVBand="1" w:val="04A0"/>
        <w:tblBorders>
          <w:top w:val="single" w:sz="4" w:space="0" w:color="AFCBD0"/>
          <w:left w:val="single" w:sz="4" w:space="0" w:color="AFCBD0"/>
          <w:bottom w:val="single" w:sz="4" w:space="0" w:color="AFCBD0"/>
          <w:right w:val="single" w:sz="4" w:space="0" w:color="AFCBD0"/>
          <w:insideH w:val="single" w:sz="4" w:space="0" w:color="AFCBD0"/>
          <w:insideV w:val="single" w:sz="4" w:space="0" w:color="AFCBD0"/>
        </w:tblBorders>
        <w:tblLayout w:type="autofit"/>
        <w:jc w:val="center"/>
      </w:tblPr>
      <w:tblGrid>
        <w:gridCol w:w="2292"/>
        <w:gridCol w:w="6013"/>
      </w:tblGrid>
      <w:tr>
        <w:trPr>
          <w:trHeight w:val="0" w:hRule="atLeast"/>
        </w:trPr>
        <w:tc>
          <w:tcPr>
            <w:tcW w:type="dxa" w:w="22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耗尽策略</w:t>
            </w:r>
          </w:p>
        </w:tc>
        <w:tc>
          <w:tcPr>
            <w:tcW w:type="dxa" w:w="601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行为</w:t>
            </w:r>
          </w:p>
        </w:tc>
      </w:tr>
      <w:tr>
        <w:trPr>
          <w:trHeight w:val="0" w:hRule="atLeast"/>
        </w:trPr>
        <w:tc>
          <w:tcPr>
            <w:tcW w:type="dxa" w:w="22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ReduceOfferCount</w:t>
            </w:r>
          </w:p>
        </w:tc>
        <w:tc>
          <w:tcPr>
            <w:tcW w:type="dxa" w:w="601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展示全部剩余合法候选；剩余为零时结束本次选择。</w:t>
            </w:r>
          </w:p>
        </w:tc>
      </w:tr>
      <w:tr>
        <w:trPr>
          <w:trHeight w:val="0" w:hRule="atLeast"/>
        </w:trPr>
        <w:tc>
          <w:tcPr>
            <w:tcW w:type="dxa" w:w="22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FallbackPool</w:t>
            </w:r>
          </w:p>
        </w:tc>
        <w:tc>
          <w:tcPr>
            <w:tcW w:type="dxa" w:w="601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切换到 fallbackPoolId 后重新执行完整筛选；回退链不得成环。</w:t>
            </w:r>
          </w:p>
        </w:tc>
      </w:tr>
      <w:tr>
        <w:trPr>
          <w:trHeight w:val="0" w:hRule="atLeast"/>
        </w:trPr>
        <w:tc>
          <w:tcPr>
            <w:tcW w:type="dxa" w:w="2292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EndUpgradeSelection</w:t>
            </w:r>
          </w:p>
        </w:tc>
        <w:tc>
          <w:tcPr>
            <w:tcW w:type="dxa" w:w="6013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不展示空面板，结束本次选择并记录原因。</w:t>
            </w:r>
          </w:p>
        </w:tc>
      </w:tr>
    </w:tbl>
    <w:p>
      <w:pPr/>
      <w:r>
        <w:rPr>
          <w:rFonts w:ascii="微软雅黑" w:hAnsi="微软雅黑" w:eastAsia="微软雅黑"/>
          <w:b w:val="0"/>
          <w:color w:val="333333"/>
          <w:sz w:val="18"/>
        </w:rPr>
        <w:t>耗尽策略直接以“候选是否少于 drawCount”为判断条件，不再配置 minimumOfferCount。本期池 1 使用 ReduceOfferCount，明确修复当前代码在合法候选少于 3 项时抛出异常的问题。</w:t>
      </w:r>
    </w:p>
    <w:p>
      <w:bookmarkStart w:id="12" w:name="_Toc12"/>
      <w:pPr>
        <w:pStyle w:val="4"/>
        <w:numPr>
          <w:ilvl w:val="1"/>
          <w:numId w:val="7"/>
        </w:numPr>
        <w:bidi w:val="0"/>
        <w:spacing w:after="156"/>
        <w:ind w:left="285" w:hanging="225" w:leftChars="0" w:firstLineChars="0"/>
        <w:outlineLvl w:val="1"/>
      </w:pPr>
      <w:r>
        <w:t>升级效果规则</w:t>
      </w:r>
      <w:bookmarkEnd w:id="12"/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当前 9 个选项全部是“一项对应一种效果”，继续由 EUpgradeOptionType 分派，避免为只有两个有效字段的载荷建立独立业务表。</w:t>
      </w:r>
    </w:p>
    <w:tbl>
      <w:tblPr>
        <w:tblStyle w:val="37"/>
        <w:tblW w:type="dxa" w:w="8305"/>
        <w:tblLook w:firstColumn="1" w:firstRow="1" w:lastColumn="0" w:lastRow="0" w:noHBand="0" w:noVBand="1" w:val="04A0"/>
        <w:tblBorders>
          <w:top w:val="single" w:sz="4" w:space="0" w:color="AFCBD0"/>
          <w:left w:val="single" w:sz="4" w:space="0" w:color="AFCBD0"/>
          <w:bottom w:val="single" w:sz="4" w:space="0" w:color="AFCBD0"/>
          <w:right w:val="single" w:sz="4" w:space="0" w:color="AFCBD0"/>
          <w:insideH w:val="single" w:sz="4" w:space="0" w:color="AFCBD0"/>
          <w:insideV w:val="single" w:sz="4" w:space="0" w:color="AFCBD0"/>
        </w:tblBorders>
        <w:tblLayout w:type="autofit"/>
        <w:jc w:val="center"/>
      </w:tblPr>
      <w:tblGrid>
        <w:gridCol w:w="1146"/>
        <w:gridCol w:w="1254"/>
        <w:gridCol w:w="3707"/>
        <w:gridCol w:w="2198"/>
      </w:tblGrid>
      <w:tr>
        <w:trPr>
          <w:trHeight w:val="0" w:hRule="atLeast"/>
        </w:trPr>
        <w:tc>
          <w:tcPr>
            <w:tcW w:type="dxa" w:w="114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类型</w:t>
            </w:r>
          </w:p>
        </w:tc>
        <w:tc>
          <w:tcPr>
            <w:tcW w:type="dxa" w:w="125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使用字段</w:t>
            </w:r>
          </w:p>
        </w:tc>
        <w:tc>
          <w:tcPr>
            <w:tcW w:type="dxa" w:w="37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约束</w:t>
            </w:r>
          </w:p>
        </w:tc>
        <w:tc>
          <w:tcPr>
            <w:tcW w:type="dxa" w:w="21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生命周期</w:t>
            </w:r>
          </w:p>
        </w:tc>
      </w:tr>
      <w:tr>
        <w:trPr>
          <w:trHeight w:val="0" w:hRule="atLeast"/>
        </w:trPr>
        <w:tc>
          <w:tcPr>
            <w:tcW w:type="dxa" w:w="114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SkillUnlock</w:t>
            </w:r>
          </w:p>
        </w:tc>
        <w:tc>
          <w:tcPr>
            <w:tcW w:type="dxa" w:w="125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targetSkillId</w:t>
            </w:r>
          </w:p>
        </w:tc>
        <w:tc>
          <w:tcPr>
            <w:tcW w:type="dxa" w:w="37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必须引用 TbSkill；modifiers、healMilli 为空</w:t>
            </w:r>
          </w:p>
        </w:tc>
        <w:tc>
          <w:tcPr>
            <w:tcW w:type="dxa" w:w="21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局内持久，可由升级状态重建</w:t>
            </w:r>
          </w:p>
        </w:tc>
      </w:tr>
      <w:tr>
        <w:trPr>
          <w:trHeight w:val="0" w:hRule="atLeast"/>
        </w:trPr>
        <w:tc>
          <w:tcPr>
            <w:tcW w:type="dxa" w:w="114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Attribute</w:t>
            </w:r>
          </w:p>
        </w:tc>
        <w:tc>
          <w:tcPr>
            <w:tcW w:type="dxa" w:w="125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modifiers</w:t>
            </w:r>
          </w:p>
        </w:tc>
        <w:tc>
          <w:tcPr>
            <w:tcW w:type="dxa" w:w="37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至少一项 RunAttributeModifier；targetSkillId、healMilli 为空</w:t>
            </w:r>
          </w:p>
        </w:tc>
        <w:tc>
          <w:tcPr>
            <w:tcW w:type="dxa" w:w="21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局内持久，可由升级状态重建</w:t>
            </w:r>
          </w:p>
        </w:tc>
      </w:tr>
      <w:tr>
        <w:trPr>
          <w:trHeight w:val="0" w:hRule="atLeast"/>
        </w:trPr>
        <w:tc>
          <w:tcPr>
            <w:tcW w:type="dxa" w:w="114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Heal</w:t>
            </w:r>
          </w:p>
        </w:tc>
        <w:tc>
          <w:tcPr>
            <w:tcW w:type="dxa" w:w="125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healMilli</w:t>
            </w:r>
          </w:p>
        </w:tc>
        <w:tc>
          <w:tcPr>
            <w:tcW w:type="dxa" w:w="370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必须为正整数；targetSkillId、modifiers 为空</w:t>
            </w:r>
          </w:p>
        </w:tc>
        <w:tc>
          <w:tcPr>
            <w:tcW w:type="dxa" w:w="219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选择当次即时执行，不随账本重复触发</w:t>
            </w:r>
          </w:p>
        </w:tc>
      </w:tr>
    </w:tbl>
    <w:p>
      <w:pPr/>
      <w:r>
        <w:rPr>
          <w:rFonts w:ascii="微软雅黑" w:hAnsi="微软雅黑" w:eastAsia="微软雅黑"/>
          <w:b w:val="0"/>
          <w:color w:val="333333"/>
          <w:sz w:val="18"/>
        </w:rPr>
        <w:t>只有出现“单选项多效果、等级效果不同、效果跨选项复用”之一时，才新增统一的效果组结构；不会按每种效果拆成独立两列表。</w:t>
      </w:r>
    </w:p>
    <w:p>
      <w:bookmarkStart w:id="13" w:name="_Toc13"/>
      <w:pPr>
        <w:pStyle w:val="4"/>
        <w:numPr>
          <w:ilvl w:val="1"/>
          <w:numId w:val="7"/>
        </w:numPr>
        <w:bidi w:val="0"/>
        <w:spacing w:after="156"/>
        <w:ind w:left="285" w:hanging="225" w:leftChars="0" w:firstLineChars="0"/>
        <w:outlineLvl w:val="1"/>
      </w:pPr>
      <w:r>
        <w:t>异常处理</w:t>
      </w:r>
      <w:bookmarkEnd w:id="13"/>
    </w:p>
    <w:tbl>
      <w:tblPr>
        <w:tblStyle w:val="37"/>
        <w:tblW w:type="dxa" w:w="8305"/>
        <w:tblLook w:firstColumn="1" w:firstRow="1" w:lastColumn="0" w:lastRow="0" w:noHBand="0" w:noVBand="1" w:val="04A0"/>
        <w:tblBorders>
          <w:top w:val="single" w:sz="4" w:space="0" w:color="AFCBD0"/>
          <w:left w:val="single" w:sz="4" w:space="0" w:color="AFCBD0"/>
          <w:bottom w:val="single" w:sz="4" w:space="0" w:color="AFCBD0"/>
          <w:right w:val="single" w:sz="4" w:space="0" w:color="AFCBD0"/>
          <w:insideH w:val="single" w:sz="4" w:space="0" w:color="AFCBD0"/>
          <w:insideV w:val="single" w:sz="4" w:space="0" w:color="AFCBD0"/>
        </w:tblBorders>
        <w:tblLayout w:type="autofit"/>
        <w:jc w:val="center"/>
      </w:tblPr>
      <w:tblGrid>
        <w:gridCol w:w="3387"/>
        <w:gridCol w:w="4918"/>
      </w:tblGrid>
      <w:tr>
        <w:trPr>
          <w:trHeight w:val="0" w:hRule="atLeast"/>
        </w:trPr>
        <w:tc>
          <w:tcPr>
            <w:tcW w:type="dxa" w:w="33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异常</w:t>
            </w:r>
          </w:p>
        </w:tc>
        <w:tc>
          <w:tcPr>
            <w:tcW w:type="dxa" w:w="49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处理</w:t>
            </w:r>
          </w:p>
        </w:tc>
      </w:tr>
      <w:tr>
        <w:trPr>
          <w:trHeight w:val="0" w:hRule="atLeast"/>
        </w:trPr>
        <w:tc>
          <w:tcPr>
            <w:tcW w:type="dxa" w:w="33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池为空或条目重复</w:t>
            </w:r>
          </w:p>
        </w:tc>
        <w:tc>
          <w:tcPr>
            <w:tcW w:type="dxa" w:w="49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配置生成或启动校验失败，不进入战斗。</w:t>
            </w:r>
          </w:p>
        </w:tc>
      </w:tr>
      <w:tr>
        <w:trPr>
          <w:trHeight w:val="0" w:hRule="atLeast"/>
        </w:trPr>
        <w:tc>
          <w:tcPr>
            <w:tcW w:type="dxa" w:w="33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权重非正数</w:t>
            </w:r>
          </w:p>
        </w:tc>
        <w:tc>
          <w:tcPr>
            <w:tcW w:type="dxa" w:w="49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配置校验失败。</w:t>
            </w:r>
          </w:p>
        </w:tc>
      </w:tr>
      <w:tr>
        <w:trPr>
          <w:trHeight w:val="0" w:hRule="atLeast"/>
        </w:trPr>
        <w:tc>
          <w:tcPr>
            <w:tcW w:type="dxa" w:w="33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后备池缺失或回退成环</w:t>
            </w:r>
          </w:p>
        </w:tc>
        <w:tc>
          <w:tcPr>
            <w:tcW w:type="dxa" w:w="49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配置校验失败。</w:t>
            </w:r>
          </w:p>
        </w:tc>
      </w:tr>
      <w:tr>
        <w:trPr>
          <w:trHeight w:val="0" w:hRule="atLeast"/>
        </w:trPr>
        <w:tc>
          <w:tcPr>
            <w:tcW w:type="dxa" w:w="33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选项类型与字段组合不一致</w:t>
            </w:r>
          </w:p>
        </w:tc>
        <w:tc>
          <w:tcPr>
            <w:tcW w:type="dxa" w:w="49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配置校验失败，并输出选项 ID。</w:t>
            </w:r>
          </w:p>
        </w:tc>
      </w:tr>
      <w:tr>
        <w:trPr>
          <w:trHeight w:val="0" w:hRule="atLeast"/>
        </w:trPr>
        <w:tc>
          <w:tcPr>
            <w:tcW w:type="dxa" w:w="33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玩家提交过期面板</w:t>
            </w:r>
          </w:p>
        </w:tc>
        <w:tc>
          <w:tcPr>
            <w:tcW w:type="dxa" w:w="49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拒绝提交，不改变任何局内状态。</w:t>
            </w:r>
          </w:p>
        </w:tc>
      </w:tr>
      <w:tr>
        <w:trPr>
          <w:trHeight w:val="0" w:hRule="atLeast"/>
        </w:trPr>
        <w:tc>
          <w:tcPr>
            <w:tcW w:type="dxa" w:w="3387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效果执行失败</w:t>
            </w:r>
          </w:p>
        </w:tc>
        <w:tc>
          <w:tcPr>
            <w:tcW w:type="dxa" w:w="491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不增加升级等级，保留面板并记录错误。</w:t>
            </w:r>
          </w:p>
        </w:tc>
      </w:tr>
    </w:tbl>
    <w:p>
      <w:bookmarkStart w:id="14" w:name="_Toc14"/>
      <w:pPr>
        <w:pStyle w:val="3"/>
        <w:numPr>
          <w:ilvl w:val="0"/>
          <w:numId w:val="7"/>
        </w:numPr>
        <w:tabs>
          <w:tab w:val="clear" w:pos="720"/>
        </w:tabs>
        <w:bidi w:val="0"/>
        <w:ind w:left="425" w:hanging="425" w:leftChars="0" w:firstLineChars="0"/>
      </w:pPr>
      <w:r>
        <w:t>界面设定</w:t>
      </w:r>
      <w:bookmarkEnd w:id="14"/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本期不改造现有升级 Prefab，只定义数据与交互契约。</w:t>
      </w:r>
    </w:p>
    <w:tbl>
      <w:tblPr>
        <w:tblStyle w:val="37"/>
        <w:tblW w:type="dxa" w:w="8305"/>
        <w:tblLook w:firstColumn="1" w:firstRow="1" w:lastColumn="0" w:lastRow="0" w:noHBand="0" w:noVBand="1" w:val="04A0"/>
        <w:tblBorders>
          <w:top w:val="single" w:sz="4" w:space="0" w:color="AFCBD0"/>
          <w:left w:val="single" w:sz="4" w:space="0" w:color="AFCBD0"/>
          <w:bottom w:val="single" w:sz="4" w:space="0" w:color="AFCBD0"/>
          <w:right w:val="single" w:sz="4" w:space="0" w:color="AFCBD0"/>
          <w:insideH w:val="single" w:sz="4" w:space="0" w:color="AFCBD0"/>
          <w:insideV w:val="single" w:sz="4" w:space="0" w:color="AFCBD0"/>
        </w:tblBorders>
        <w:tblLayout w:type="autofit"/>
        <w:jc w:val="center"/>
      </w:tblPr>
      <w:tblGrid>
        <w:gridCol w:w="999"/>
        <w:gridCol w:w="4381"/>
        <w:gridCol w:w="2925"/>
      </w:tblGrid>
      <w:tr>
        <w:trPr>
          <w:trHeight w:val="0" w:hRule="atLeast"/>
        </w:trPr>
        <w:tc>
          <w:tcPr>
            <w:tcW w:type="dxa" w:w="9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元素</w:t>
            </w:r>
          </w:p>
        </w:tc>
        <w:tc>
          <w:tcPr>
            <w:tcW w:type="dxa" w:w="4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显示规则</w:t>
            </w:r>
          </w:p>
        </w:tc>
        <w:tc>
          <w:tcPr>
            <w:tcW w:type="dxa" w:w="29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交互规则</w:t>
            </w:r>
          </w:p>
        </w:tc>
      </w:tr>
      <w:tr>
        <w:trPr>
          <w:trHeight w:val="0" w:hRule="atLeast"/>
        </w:trPr>
        <w:tc>
          <w:tcPr>
            <w:tcW w:type="dxa" w:w="9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升级卡</w:t>
            </w:r>
          </w:p>
        </w:tc>
        <w:tc>
          <w:tcPr>
            <w:tcW w:type="dxa" w:w="4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显示名称、说明、图标、当前等级和升级后等级</w:t>
            </w:r>
          </w:p>
        </w:tc>
        <w:tc>
          <w:tcPr>
            <w:tcW w:type="dxa" w:w="29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仅合法候选生成卡片</w:t>
            </w:r>
          </w:p>
        </w:tc>
      </w:tr>
      <w:tr>
        <w:trPr>
          <w:trHeight w:val="0" w:hRule="atLeast"/>
        </w:trPr>
        <w:tc>
          <w:tcPr>
            <w:tcW w:type="dxa" w:w="9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卡片数量</w:t>
            </w:r>
          </w:p>
        </w:tc>
        <w:tc>
          <w:tcPr>
            <w:tcW w:type="dxa" w:w="4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正常为 drawCount；ReduceOfferCount 时允许 1～2 张</w:t>
            </w:r>
          </w:p>
        </w:tc>
        <w:tc>
          <w:tcPr>
            <w:tcW w:type="dxa" w:w="29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不生成空白占位卡</w:t>
            </w:r>
          </w:p>
        </w:tc>
      </w:tr>
      <w:tr>
        <w:trPr>
          <w:trHeight w:val="0" w:hRule="atLeast"/>
        </w:trPr>
        <w:tc>
          <w:tcPr>
            <w:tcW w:type="dxa" w:w="9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选择反馈</w:t>
            </w:r>
          </w:p>
        </w:tc>
        <w:tc>
          <w:tcPr>
            <w:tcW w:type="dxa" w:w="4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点击后锁定本代面板，等待结果提交</w:t>
            </w:r>
          </w:p>
        </w:tc>
        <w:tc>
          <w:tcPr>
            <w:tcW w:type="dxa" w:w="29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重复点击和旧 generation 请求无效</w:t>
            </w:r>
          </w:p>
        </w:tc>
      </w:tr>
      <w:tr>
        <w:trPr>
          <w:trHeight w:val="0" w:hRule="atLeast"/>
        </w:trPr>
        <w:tc>
          <w:tcPr>
            <w:tcW w:type="dxa" w:w="9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零候选</w:t>
            </w:r>
          </w:p>
        </w:tc>
        <w:tc>
          <w:tcPr>
            <w:tcW w:type="dxa" w:w="4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不打开空面板，记录耗尽原因后恢复流程</w:t>
            </w:r>
          </w:p>
        </w:tc>
        <w:tc>
          <w:tcPr>
            <w:tcW w:type="dxa" w:w="29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不允许软锁战斗</w:t>
            </w:r>
          </w:p>
        </w:tc>
      </w:tr>
      <w:tr>
        <w:trPr>
          <w:trHeight w:val="0" w:hRule="atLeast"/>
        </w:trPr>
        <w:tc>
          <w:tcPr>
            <w:tcW w:type="dxa" w:w="9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错误状态</w:t>
            </w:r>
          </w:p>
        </w:tc>
        <w:tc>
          <w:tcPr>
            <w:tcW w:type="dxa" w:w="438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保留面板并输出可定位错误</w:t>
            </w:r>
          </w:p>
        </w:tc>
        <w:tc>
          <w:tcPr>
            <w:tcW w:type="dxa" w:w="292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不静默吞掉、不增加等级</w:t>
            </w:r>
          </w:p>
        </w:tc>
      </w:tr>
    </w:tbl>
    <w:p>
      <w:bookmarkStart w:id="15" w:name="_Toc15"/>
      <w:pPr>
        <w:pStyle w:val="3"/>
        <w:numPr>
          <w:ilvl w:val="0"/>
          <w:numId w:val="7"/>
        </w:numPr>
        <w:tabs>
          <w:tab w:val="clear" w:pos="720"/>
        </w:tabs>
        <w:bidi w:val="0"/>
        <w:ind w:left="425" w:hanging="425" w:leftChars="0" w:firstLineChars="0"/>
      </w:pPr>
      <w:r>
        <w:t>美术需求</w:t>
      </w:r>
      <w:bookmarkEnd w:id="15"/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三选一配置迁移阶段不新增美术资产，不生成独立预览纹理、材质、网格或 Prefab。当前 iconResourceId 原样保留为空，待正式 UI 资源进入 TbResource 后再填写。后续 UI 调整只绑定现有正式资源和用户维护的 Prefab，不创建平行 Runtime 节点。</w:t>
      </w:r>
    </w:p>
    <w:p>
      <w:bookmarkStart w:id="16" w:name="_Toc16"/>
      <w:pPr>
        <w:pStyle w:val="3"/>
        <w:numPr>
          <w:ilvl w:val="0"/>
          <w:numId w:val="7"/>
        </w:numPr>
        <w:tabs>
          <w:tab w:val="clear" w:pos="720"/>
        </w:tabs>
        <w:bidi w:val="0"/>
        <w:ind w:left="425" w:hanging="425" w:leftChars="0" w:firstLineChars="0"/>
      </w:pPr>
      <w:r>
        <w:t>配置表结构</w:t>
      </w:r>
      <w:bookmarkEnd w:id="16"/>
    </w:p>
    <w:p>
      <w:bookmarkStart w:id="17" w:name="_Toc17"/>
      <w:pPr>
        <w:pStyle w:val="4"/>
        <w:numPr>
          <w:ilvl w:val="1"/>
          <w:numId w:val="7"/>
        </w:numPr>
        <w:bidi w:val="0"/>
        <w:spacing w:after="156"/>
        <w:ind w:left="285" w:hanging="225" w:leftChars="0" w:firstLineChars="0"/>
        <w:outlineLvl w:val="1"/>
      </w:pPr>
      <w:r>
        <w:t>枚举与 Bean</w:t>
      </w:r>
      <w:bookmarkEnd w:id="17"/>
    </w:p>
    <w:tbl>
      <w:tblPr>
        <w:tblStyle w:val="37"/>
        <w:tblW w:type="dxa" w:w="8305"/>
        <w:tblLook w:firstColumn="1" w:firstRow="1" w:lastColumn="0" w:lastRow="0" w:noHBand="0" w:noVBand="1" w:val="04A0"/>
        <w:tblBorders>
          <w:top w:val="single" w:sz="4" w:space="0" w:color="AFCBD0"/>
          <w:left w:val="single" w:sz="4" w:space="0" w:color="AFCBD0"/>
          <w:bottom w:val="single" w:sz="4" w:space="0" w:color="AFCBD0"/>
          <w:right w:val="single" w:sz="4" w:space="0" w:color="AFCBD0"/>
          <w:insideH w:val="single" w:sz="4" w:space="0" w:color="AFCBD0"/>
          <w:insideV w:val="single" w:sz="4" w:space="0" w:color="AFCBD0"/>
        </w:tblBorders>
        <w:tblLayout w:type="autofit"/>
        <w:jc w:val="center"/>
      </w:tblPr>
      <w:tblGrid>
        <w:gridCol w:w="1995"/>
        <w:gridCol w:w="4010"/>
        <w:gridCol w:w="2300"/>
      </w:tblGrid>
      <w:tr>
        <w:trPr>
          <w:trHeight w:val="0" w:hRule="atLeast"/>
        </w:trPr>
        <w:tc>
          <w:tcPr>
            <w:tcW w:type="dxa" w:w="1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配置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内容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用途</w:t>
            </w:r>
          </w:p>
        </w:tc>
      </w:tr>
      <w:tr>
        <w:trPr>
          <w:trHeight w:val="0" w:hRule="atLeast"/>
        </w:trPr>
        <w:tc>
          <w:tcPr>
            <w:tcW w:type="dxa" w:w="1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EUpgradeOptionType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SkillUnlock=1；Attribute=2；Heal=3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复用现有三种升级效果分派</w:t>
            </w:r>
          </w:p>
        </w:tc>
      </w:tr>
      <w:tr>
        <w:trPr>
          <w:trHeight w:val="0" w:hRule="atLeast"/>
        </w:trPr>
        <w:tc>
          <w:tcPr>
            <w:tcW w:type="dxa" w:w="1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EUpgradeExhaustionPolicy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ReduceOfferCount=1；FallbackPool=2；EndUpgradeSelection=3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候选少于 drawCount 时的处理规则</w:t>
            </w:r>
          </w:p>
        </w:tc>
      </w:tr>
      <w:tr>
        <w:trPr>
          <w:trHeight w:val="0" w:hRule="atLeast"/>
        </w:trPr>
        <w:tc>
          <w:tcPr>
            <w:tcW w:type="dxa" w:w="1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UpgradePoolEntry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optionId；weight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选项强引用与池内正整数权重</w:t>
            </w:r>
          </w:p>
        </w:tc>
      </w:tr>
      <w:tr>
        <w:trPr>
          <w:trHeight w:val="0" w:hRule="atLeast"/>
        </w:trPr>
        <w:tc>
          <w:tcPr>
            <w:tcW w:type="dxa" w:w="1995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RunAttributeModifier</w:t>
            </w:r>
          </w:p>
        </w:tc>
        <w:tc>
          <w:tcPr>
            <w:tcW w:type="dxa" w:w="401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attributeId；operation；valueMilli</w:t>
            </w:r>
          </w:p>
        </w:tc>
        <w:tc>
          <w:tcPr>
            <w:tcW w:type="dxa" w:w="230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复用现有属性修改结构</w:t>
            </w:r>
          </w:p>
        </w:tc>
      </w:tr>
    </w:tbl>
    <w:p>
      <w:pPr/>
      <w:r>
        <w:rPr>
          <w:rFonts w:ascii="微软雅黑" w:hAnsi="微软雅黑" w:eastAsia="微软雅黑"/>
          <w:b w:val="0"/>
          <w:color w:val="333333"/>
          <w:sz w:val="18"/>
        </w:rPr>
        <w:t>不新增 EUpgradeEffectKind、UpgradeEffectRef、UpgradeRequirement 或 UpgradeMilestoneEffect。</w:t>
      </w:r>
    </w:p>
    <w:p>
      <w:bookmarkStart w:id="18" w:name="_Toc18"/>
      <w:pPr>
        <w:pStyle w:val="4"/>
        <w:numPr>
          <w:ilvl w:val="1"/>
          <w:numId w:val="7"/>
        </w:numPr>
        <w:bidi w:val="0"/>
        <w:spacing w:after="156"/>
        <w:ind w:left="285" w:hanging="225" w:leftChars="0" w:firstLineChars="0"/>
        <w:outlineLvl w:val="1"/>
      </w:pPr>
      <w:r>
        <w:t>业务表</w:t>
      </w:r>
      <w:bookmarkEnd w:id="18"/>
    </w:p>
    <w:tbl>
      <w:tblPr>
        <w:tblStyle w:val="37"/>
        <w:tblW w:type="dxa" w:w="8305"/>
        <w:tblLook w:firstColumn="1" w:firstRow="1" w:lastColumn="0" w:lastRow="0" w:noHBand="0" w:noVBand="1" w:val="04A0"/>
        <w:tblBorders>
          <w:top w:val="single" w:sz="4" w:space="0" w:color="AFCBD0"/>
          <w:left w:val="single" w:sz="4" w:space="0" w:color="AFCBD0"/>
          <w:bottom w:val="single" w:sz="4" w:space="0" w:color="AFCBD0"/>
          <w:right w:val="single" w:sz="4" w:space="0" w:color="AFCBD0"/>
          <w:insideH w:val="single" w:sz="4" w:space="0" w:color="AFCBD0"/>
          <w:insideV w:val="single" w:sz="4" w:space="0" w:color="AFCBD0"/>
        </w:tblBorders>
        <w:tblLayout w:type="autofit"/>
        <w:jc w:val="center"/>
      </w:tblPr>
      <w:tblGrid>
        <w:gridCol w:w="1210"/>
        <w:gridCol w:w="4009"/>
        <w:gridCol w:w="3086"/>
      </w:tblGrid>
      <w:tr>
        <w:trPr>
          <w:trHeight w:val="0" w:hRule="atLeast"/>
        </w:trPr>
        <w:tc>
          <w:tcPr>
            <w:tcW w:type="dxa" w:w="121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表</w:t>
            </w:r>
          </w:p>
        </w:tc>
        <w:tc>
          <w:tcPr>
            <w:tcW w:type="dxa" w:w="400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字段</w:t>
            </w:r>
          </w:p>
        </w:tc>
        <w:tc>
          <w:tcPr>
            <w:tcW w:type="dxa" w:w="30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约束</w:t>
            </w:r>
          </w:p>
        </w:tc>
      </w:tr>
      <w:tr>
        <w:trPr>
          <w:trHeight w:val="0" w:hRule="atLeast"/>
        </w:trPr>
        <w:tc>
          <w:tcPr>
            <w:tcW w:type="dxa" w:w="121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TbUpgradePool</w:t>
            </w:r>
          </w:p>
        </w:tc>
        <w:tc>
          <w:tcPr>
            <w:tcW w:type="dxa" w:w="400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id；drawCount；exhaustionPolicy；fallbackPoolId；entries</w:t>
            </w:r>
          </w:p>
        </w:tc>
        <w:tc>
          <w:tcPr>
            <w:tcW w:type="dxa" w:w="30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drawCount 正整数；同池 optionId 唯一；FallbackPool 时必须填写后备池</w:t>
            </w:r>
          </w:p>
        </w:tc>
      </w:tr>
      <w:tr>
        <w:trPr>
          <w:trHeight w:val="0" w:hRule="atLeast"/>
        </w:trPr>
        <w:tc>
          <w:tcPr>
            <w:tcW w:type="dxa" w:w="1210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TbUpgradeOption</w:t>
            </w:r>
          </w:p>
        </w:tc>
        <w:tc>
          <w:tcPr>
            <w:tcW w:type="dxa" w:w="400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id；name；description；type；targetSkillId；maxRank；modifiers；healMilli；iconResourceId</w:t>
            </w:r>
          </w:p>
        </w:tc>
        <w:tc>
          <w:tcPr>
            <w:tcW w:type="dxa" w:w="30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maxRank 正整数；类型与三个载荷字段严格互斥</w:t>
            </w:r>
          </w:p>
        </w:tc>
      </w:tr>
    </w:tbl>
    <w:p>
      <w:pPr/>
      <w:r>
        <w:rPr>
          <w:rFonts w:ascii="微软雅黑" w:hAnsi="微软雅黑" w:eastAsia="微软雅黑"/>
          <w:b w:val="0"/>
          <w:color w:val="333333"/>
          <w:sz w:val="18"/>
        </w:rPr>
        <w:t>业务表保持两张。前置、互斥、里程碑和效果组只记录为后续扩展条件，不以空表、空列或未使用枚举进入本期 Luban。</w:t>
      </w:r>
    </w:p>
    <w:p>
      <w:bookmarkStart w:id="19" w:name="_Toc19"/>
      <w:pPr>
        <w:pStyle w:val="4"/>
        <w:numPr>
          <w:ilvl w:val="1"/>
          <w:numId w:val="7"/>
        </w:numPr>
        <w:bidi w:val="0"/>
        <w:spacing w:after="156"/>
        <w:ind w:left="285" w:hanging="225" w:leftChars="0" w:firstLineChars="0"/>
        <w:outlineLvl w:val="1"/>
      </w:pPr>
      <w:r>
        <w:t>当前数据迁移</w:t>
      </w:r>
      <w:bookmarkEnd w:id="19"/>
    </w:p>
    <w:tbl>
      <w:tblPr>
        <w:tblStyle w:val="37"/>
        <w:tblW w:type="dxa" w:w="8305"/>
        <w:tblLook w:firstColumn="1" w:firstRow="1" w:lastColumn="0" w:lastRow="0" w:noHBand="0" w:noVBand="1" w:val="04A0"/>
        <w:tblBorders>
          <w:top w:val="single" w:sz="4" w:space="0" w:color="AFCBD0"/>
          <w:left w:val="single" w:sz="4" w:space="0" w:color="AFCBD0"/>
          <w:bottom w:val="single" w:sz="4" w:space="0" w:color="AFCBD0"/>
          <w:right w:val="single" w:sz="4" w:space="0" w:color="AFCBD0"/>
          <w:insideH w:val="single" w:sz="4" w:space="0" w:color="AFCBD0"/>
          <w:insideV w:val="single" w:sz="4" w:space="0" w:color="AFCBD0"/>
        </w:tblBorders>
        <w:tblLayout w:type="autofit"/>
        <w:jc w:val="center"/>
      </w:tblPr>
      <w:tblGrid>
        <w:gridCol w:w="1414"/>
        <w:gridCol w:w="4771"/>
        <w:gridCol w:w="1006"/>
        <w:gridCol w:w="1114"/>
      </w:tblGrid>
      <w:tr>
        <w:trPr>
          <w:trHeight w:val="0" w:hRule="atLeast"/>
        </w:trPr>
        <w:tc>
          <w:tcPr>
            <w:tcW w:type="dxa" w:w="14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选项范围</w:t>
            </w:r>
          </w:p>
        </w:tc>
        <w:tc>
          <w:tcPr>
            <w:tcW w:type="dxa" w:w="47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类型与载荷</w:t>
            </w:r>
          </w:p>
        </w:tc>
        <w:tc>
          <w:tcPr>
            <w:tcW w:type="dxa" w:w="100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最大等级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池 1 权重</w:t>
            </w:r>
          </w:p>
        </w:tc>
      </w:tr>
      <w:tr>
        <w:trPr>
          <w:trHeight w:val="0" w:hRule="atLeast"/>
        </w:trPr>
        <w:tc>
          <w:tcPr>
            <w:tcW w:type="dxa" w:w="14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40001～40004</w:t>
            </w:r>
          </w:p>
        </w:tc>
        <w:tc>
          <w:tcPr>
            <w:tcW w:type="dxa" w:w="47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SkillUnlock；技能引用保持 20014、20032、20028、20043</w:t>
            </w:r>
          </w:p>
        </w:tc>
        <w:tc>
          <w:tcPr>
            <w:tcW w:type="dxa" w:w="100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1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各 100</w:t>
            </w:r>
          </w:p>
        </w:tc>
      </w:tr>
      <w:tr>
        <w:trPr>
          <w:trHeight w:val="0" w:hRule="atLeast"/>
        </w:trPr>
        <w:tc>
          <w:tcPr>
            <w:tcW w:type="dxa" w:w="14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40005～40008</w:t>
            </w:r>
          </w:p>
        </w:tc>
        <w:tc>
          <w:tcPr>
            <w:tcW w:type="dxa" w:w="47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Attribute；原 RunAttributeModifier 数值不变</w:t>
            </w:r>
          </w:p>
        </w:tc>
        <w:tc>
          <w:tcPr>
            <w:tcW w:type="dxa" w:w="100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99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各 100</w:t>
            </w:r>
          </w:p>
        </w:tc>
      </w:tr>
      <w:tr>
        <w:trPr>
          <w:trHeight w:val="0" w:hRule="atLeast"/>
        </w:trPr>
        <w:tc>
          <w:tcPr>
            <w:tcW w:type="dxa" w:w="14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40009</w:t>
            </w:r>
          </w:p>
        </w:tc>
        <w:tc>
          <w:tcPr>
            <w:tcW w:type="dxa" w:w="4771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Heal；healMilli=20000</w:t>
            </w:r>
          </w:p>
        </w:tc>
        <w:tc>
          <w:tcPr>
            <w:tcW w:type="dxa" w:w="100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99</w:t>
            </w:r>
          </w:p>
        </w:tc>
        <w:tc>
          <w:tcPr>
            <w:tcW w:type="dxa" w:w="111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80</w:t>
            </w:r>
          </w:p>
        </w:tc>
      </w:tr>
    </w:tbl>
    <w:p>
      <w:pPr/>
      <w:r>
        <w:rPr>
          <w:rFonts w:ascii="微软雅黑" w:hAnsi="微软雅黑" w:eastAsia="微软雅黑"/>
          <w:b w:val="0"/>
          <w:color w:val="333333"/>
          <w:sz w:val="18"/>
        </w:rPr>
        <w:t>池 1 配置为：drawCount=3、exhaustionPolicy=ReduceOfferCount、fallbackPoolId 为空。选项名称、说明、最大等级、技能引用、属性修改、治疗量和权重均不改变，只调整权重的归属位置。</w:t>
      </w:r>
    </w:p>
    <w:p>
      <w:bookmarkStart w:id="20" w:name="_Toc20"/>
      <w:pPr>
        <w:pStyle w:val="4"/>
        <w:numPr>
          <w:ilvl w:val="1"/>
          <w:numId w:val="7"/>
        </w:numPr>
        <w:bidi w:val="0"/>
        <w:spacing w:after="156"/>
        <w:ind w:left="285" w:hanging="225" w:leftChars="0" w:firstLineChars="0"/>
        <w:outlineLvl w:val="1"/>
      </w:pPr>
      <w:r>
        <w:t>静态校验</w:t>
      </w:r>
      <w:bookmarkEnd w:id="20"/>
    </w:p>
    <w:tbl>
      <w:tblPr>
        <w:tblStyle w:val="37"/>
        <w:tblW w:type="dxa" w:w="8305"/>
        <w:tblLook w:firstColumn="1" w:firstRow="1" w:lastColumn="0" w:lastRow="0" w:noHBand="0" w:noVBand="1" w:val="04A0"/>
        <w:tblBorders>
          <w:top w:val="single" w:sz="4" w:space="0" w:color="AFCBD0"/>
          <w:left w:val="single" w:sz="4" w:space="0" w:color="AFCBD0"/>
          <w:bottom w:val="single" w:sz="4" w:space="0" w:color="AFCBD0"/>
          <w:right w:val="single" w:sz="4" w:space="0" w:color="AFCBD0"/>
          <w:insideH w:val="single" w:sz="4" w:space="0" w:color="AFCBD0"/>
          <w:insideV w:val="single" w:sz="4" w:space="0" w:color="AFCBD0"/>
        </w:tblBorders>
        <w:tblLayout w:type="autofit"/>
        <w:jc w:val="center"/>
      </w:tblPr>
      <w:tblGrid>
        <w:gridCol w:w="1019"/>
        <w:gridCol w:w="7286"/>
      </w:tblGrid>
      <w:tr>
        <w:trPr>
          <w:trHeight w:val="0" w:hRule="atLeast"/>
        </w:trPr>
        <w:tc>
          <w:tcPr>
            <w:tcW w:type="dxa" w:w="101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校验组</w:t>
            </w:r>
          </w:p>
        </w:tc>
        <w:tc>
          <w:tcPr>
            <w:tcW w:type="dxa" w:w="72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必须检查</w:t>
            </w:r>
          </w:p>
        </w:tc>
      </w:tr>
      <w:tr>
        <w:trPr>
          <w:trHeight w:val="0" w:hRule="atLeast"/>
        </w:trPr>
        <w:tc>
          <w:tcPr>
            <w:tcW w:type="dxa" w:w="101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引用</w:t>
            </w:r>
          </w:p>
        </w:tc>
        <w:tc>
          <w:tcPr>
            <w:tcW w:type="dxa" w:w="72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池条目、技能、属性和资源引用全部可解析</w:t>
            </w:r>
          </w:p>
        </w:tc>
      </w:tr>
      <w:tr>
        <w:trPr>
          <w:trHeight w:val="0" w:hRule="atLeast"/>
        </w:trPr>
        <w:tc>
          <w:tcPr>
            <w:tcW w:type="dxa" w:w="101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池结构</w:t>
            </w:r>
          </w:p>
        </w:tc>
        <w:tc>
          <w:tcPr>
            <w:tcW w:type="dxa" w:w="72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drawCount 为正；条目不重复；权重为正；后备池规则正确且无环</w:t>
            </w:r>
          </w:p>
        </w:tc>
      </w:tr>
      <w:tr>
        <w:trPr>
          <w:trHeight w:val="0" w:hRule="atLeast"/>
        </w:trPr>
        <w:tc>
          <w:tcPr>
            <w:tcW w:type="dxa" w:w="101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选项结构</w:t>
            </w:r>
          </w:p>
        </w:tc>
        <w:tc>
          <w:tcPr>
            <w:tcW w:type="dxa" w:w="72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type 有效；maxRank 为正；类型专用字段必须且只能填写对应组合</w:t>
            </w:r>
          </w:p>
        </w:tc>
      </w:tr>
      <w:tr>
        <w:trPr>
          <w:trHeight w:val="0" w:hRule="atLeast"/>
        </w:trPr>
        <w:tc>
          <w:tcPr>
            <w:tcW w:type="dxa" w:w="101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数据等价</w:t>
            </w:r>
          </w:p>
        </w:tc>
        <w:tc>
          <w:tcPr>
            <w:tcW w:type="dxa" w:w="72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9 个选项的 ID、名称、说明、等级、技能、属性、治疗量和权重与迁移前一致</w:t>
            </w:r>
          </w:p>
        </w:tc>
      </w:tr>
      <w:tr>
        <w:trPr>
          <w:trHeight w:val="0" w:hRule="atLeast"/>
        </w:trPr>
        <w:tc>
          <w:tcPr>
            <w:tcW w:type="dxa" w:w="101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数据源</w:t>
            </w:r>
          </w:p>
        </w:tc>
        <w:tc>
          <w:tcPr>
            <w:tcW w:type="dxa" w:w="7286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Excel 可由 PowerShell 7 调用 Luban 复现；正式生成 C# 与 bytes 同步交付</w:t>
            </w:r>
          </w:p>
        </w:tc>
      </w:tr>
    </w:tbl>
    <w:p>
      <w:bookmarkStart w:id="21" w:name="_Toc21"/>
      <w:pPr>
        <w:pStyle w:val="3"/>
        <w:numPr>
          <w:ilvl w:val="0"/>
          <w:numId w:val="7"/>
        </w:numPr>
        <w:tabs>
          <w:tab w:val="clear" w:pos="720"/>
        </w:tabs>
        <w:bidi w:val="0"/>
        <w:ind w:left="425" w:hanging="425" w:leftChars="0" w:firstLineChars="0"/>
      </w:pPr>
      <w:r>
        <w:t>实施阶段</w:t>
      </w:r>
      <w:bookmarkEnd w:id="21"/>
    </w:p>
    <w:tbl>
      <w:tblPr>
        <w:tblStyle w:val="37"/>
        <w:tblW w:type="dxa" w:w="8305"/>
        <w:tblLook w:firstColumn="1" w:firstRow="1" w:lastColumn="0" w:lastRow="0" w:noHBand="0" w:noVBand="1" w:val="04A0"/>
        <w:tblBorders>
          <w:top w:val="single" w:sz="4" w:space="0" w:color="AFCBD0"/>
          <w:left w:val="single" w:sz="4" w:space="0" w:color="AFCBD0"/>
          <w:bottom w:val="single" w:sz="4" w:space="0" w:color="AFCBD0"/>
          <w:right w:val="single" w:sz="4" w:space="0" w:color="AFCBD0"/>
          <w:insideH w:val="single" w:sz="4" w:space="0" w:color="AFCBD0"/>
          <w:insideV w:val="single" w:sz="4" w:space="0" w:color="AFCBD0"/>
        </w:tblBorders>
        <w:tblLayout w:type="autofit"/>
        <w:jc w:val="center"/>
      </w:tblPr>
      <w:tblGrid>
        <w:gridCol w:w="1224"/>
        <w:gridCol w:w="3358"/>
        <w:gridCol w:w="1224"/>
        <w:gridCol w:w="2499"/>
      </w:tblGrid>
      <w:tr>
        <w:trPr>
          <w:trHeight w:val="0" w:hRule="atLeast"/>
        </w:trPr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阶段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内容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进入条件</w:t>
            </w:r>
          </w:p>
        </w:tc>
        <w:tc>
          <w:tcPr>
            <w:tcW w:type="dxa" w:w="24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  <w:shd w:val="clear" w:color="auto" w:fill="95B4D8"/>
          </w:tcPr>
          <w:p>
            <w:pPr>
              <w:pStyle w:val="16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0"/>
              </w:rPr>
              <w:t>完成条件</w:t>
            </w:r>
          </w:p>
        </w:tc>
      </w:tr>
      <w:tr>
        <w:trPr>
          <w:trHeight w:val="0" w:hRule="atLeast"/>
        </w:trPr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U 表结构迁移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权重迁入池条目、增加耗尽策略、保留两张业务表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本案定稿</w:t>
            </w:r>
          </w:p>
        </w:tc>
        <w:tc>
          <w:tcPr>
            <w:tcW w:type="dxa" w:w="24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Luban 临时导出与表级校验通过</w:t>
            </w:r>
          </w:p>
        </w:tc>
      </w:tr>
      <w:tr>
        <w:trPr>
          <w:trHeight w:val="0" w:hRule="atLeast"/>
        </w:trPr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U 代码接入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运行时消费池条目与耗尽策略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U 表结构通过</w:t>
            </w:r>
          </w:p>
        </w:tc>
        <w:tc>
          <w:tcPr>
            <w:tcW w:type="dxa" w:w="24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.NET 编译和确定性测试通过，正式生成物同步</w:t>
            </w:r>
          </w:p>
        </w:tc>
      </w:tr>
      <w:tr>
        <w:trPr>
          <w:trHeight w:val="0" w:hRule="atLeast"/>
        </w:trPr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A 基础抽象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为 Projectile、Melee、TargetArea 建立统一施法请求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U 代码接入通过</w:t>
            </w:r>
          </w:p>
        </w:tc>
        <w:tc>
          <w:tcPr>
            <w:tcW w:type="dxa" w:w="24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现有战斗行为无漂移</w:t>
            </w:r>
          </w:p>
        </w:tc>
      </w:tr>
      <w:tr>
        <w:trPr>
          <w:trHeight w:val="0" w:hRule="atLeast"/>
        </w:trPr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B 投递扩展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Stream、Fan、Radial、Matrix、CrossRotating、Chain、Beam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A 通过</w:t>
            </w:r>
          </w:p>
        </w:tc>
        <w:tc>
          <w:tcPr>
            <w:tcW w:type="dxa" w:w="24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每类有正式表数据、纯逻辑测试和可视回归</w:t>
            </w:r>
          </w:p>
        </w:tc>
      </w:tr>
      <w:tr>
        <w:trPr>
          <w:trHeight w:val="0" w:hRule="atLeast"/>
        </w:trPr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C 效果与状态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按真实技能需求建立组合效果、状态和触发结构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B 通过</w:t>
            </w:r>
          </w:p>
        </w:tc>
        <w:tc>
          <w:tcPr>
            <w:tcW w:type="dxa" w:w="24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效果事务、状态生命周期和触发门禁闭环</w:t>
            </w:r>
          </w:p>
        </w:tc>
      </w:tr>
      <w:tr>
        <w:trPr>
          <w:trHeight w:val="0" w:hRule="atLeast"/>
        </w:trPr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D 召唤与场景物</w:t>
            </w:r>
          </w:p>
        </w:tc>
        <w:tc>
          <w:tcPr>
            <w:tcW w:type="dxa" w:w="3358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新增 Summon、PersistentArea、SceneSpawner</w:t>
            </w:r>
          </w:p>
        </w:tc>
        <w:tc>
          <w:tcPr>
            <w:tcW w:type="dxa" w:w="1224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C 通过</w:t>
            </w:r>
          </w:p>
        </w:tc>
        <w:tc>
          <w:tcPr>
            <w:tcW w:type="dxa" w:w="2499"/>
            <w:vAlign w:val="center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pStyle w:val="152"/>
              <w:ind w:left="0" w:leftChars="0" w:right="0" w:rightChars="0" w:firstLine="0" w:firstLineChars="0" w:hanging="0" w:hangingChars="0"/>
              <w:jc w:val="center"/>
            </w:pPr>
            <w:r>
              <w:rPr>
                <w:rFonts w:ascii="微软雅黑" w:hAnsi="微软雅黑" w:eastAsia="微软雅黑"/>
                <w:b w:val="0"/>
                <w:sz w:val="16"/>
              </w:rPr>
              <w:t>容量、对象池、清场和资源生命周期验证通过</w:t>
            </w:r>
          </w:p>
        </w:tc>
      </w:tr>
    </w:tbl>
    <w:p>
      <w:bookmarkStart w:id="22" w:name="_Toc22"/>
      <w:pPr>
        <w:pStyle w:val="3"/>
        <w:numPr>
          <w:ilvl w:val="0"/>
          <w:numId w:val="7"/>
        </w:numPr>
        <w:tabs>
          <w:tab w:val="clear" w:pos="720"/>
        </w:tabs>
        <w:bidi w:val="0"/>
        <w:ind w:left="425" w:hanging="425" w:leftChars="0" w:firstLineChars="0"/>
      </w:pPr>
      <w:r>
        <w:t>验收标准</w:t>
      </w:r>
      <w:bookmarkEnd w:id="22"/>
    </w:p>
    <w:p>
      <w:bookmarkStart w:id="23" w:name="_Toc23"/>
      <w:pPr>
        <w:pStyle w:val="4"/>
        <w:numPr>
          <w:ilvl w:val="1"/>
          <w:numId w:val="7"/>
        </w:numPr>
        <w:bidi w:val="0"/>
        <w:spacing w:after="156"/>
        <w:ind w:left="285" w:hanging="225" w:leftChars="0" w:firstLineChars="0"/>
        <w:outlineLvl w:val="1"/>
      </w:pPr>
      <w:r>
        <w:t>表结构阶段</w:t>
      </w:r>
      <w:bookmarkEnd w:id="23"/>
    </w:p>
    <w:p>
      <w:pPr>
        <w:outlineLvl w:val="9"/>
        <w:numPr>
          <w:ilvl w:val="0"/>
          <w:numId w:val="8"/>
        </w:numPr>
        <w:ind w:left="600" w:hanging="420" w:leftChars="0" w:firstLineChars="0"/>
      </w:pPr>
      <w:r>
        <w:rPr>
          <w:rFonts w:ascii="微软雅黑" w:hAnsi="微软雅黑" w:eastAsia="微软雅黑"/>
          <w:b w:val="0"/>
          <w:color w:val="333333"/>
          <w:sz w:val="18"/>
        </w:rPr>
        <w:t>业务工作簿只有 TbUpgradePool 与 TbUpgradeOption 两张。</w:t>
      </w:r>
    </w:p>
    <w:p>
      <w:pPr>
        <w:outlineLvl w:val="9"/>
        <w:numPr>
          <w:ilvl w:val="0"/>
          <w:numId w:val="8"/>
        </w:numPr>
        <w:ind w:left="600" w:hanging="420" w:leftChars="0" w:firstLineChars="0"/>
      </w:pPr>
      <w:r>
        <w:rPr>
          <w:rFonts w:ascii="微软雅黑" w:hAnsi="微软雅黑" w:eastAsia="微软雅黑"/>
          <w:b w:val="0"/>
          <w:color w:val="333333"/>
          <w:sz w:val="18"/>
        </w:rPr>
        <w:t>权重只存在于 UpgradePoolEntry，选项表不再保存权重。</w:t>
      </w:r>
    </w:p>
    <w:p>
      <w:pPr>
        <w:outlineLvl w:val="9"/>
        <w:numPr>
          <w:ilvl w:val="0"/>
          <w:numId w:val="8"/>
        </w:numPr>
        <w:ind w:left="600" w:hanging="420" w:leftChars="0" w:firstLineChars="0"/>
      </w:pPr>
      <w:r>
        <w:rPr>
          <w:rFonts w:ascii="微软雅黑" w:hAnsi="微软雅黑" w:eastAsia="微软雅黑"/>
          <w:b w:val="0"/>
          <w:color w:val="333333"/>
          <w:sz w:val="18"/>
        </w:rPr>
        <w:t>不存在空的前置、互斥、里程碑和效果载荷业务表。</w:t>
      </w:r>
    </w:p>
    <w:p>
      <w:pPr>
        <w:outlineLvl w:val="9"/>
        <w:numPr>
          <w:ilvl w:val="0"/>
          <w:numId w:val="8"/>
        </w:numPr>
        <w:ind w:left="600" w:hanging="420" w:leftChars="0" w:firstLineChars="0"/>
      </w:pPr>
      <w:r>
        <w:rPr>
          <w:rFonts w:ascii="微软雅黑" w:hAnsi="微软雅黑" w:eastAsia="微软雅黑"/>
          <w:b w:val="0"/>
          <w:color w:val="333333"/>
          <w:sz w:val="18"/>
        </w:rPr>
        <w:t>当前 9 个升级选项的名称、说明、最大等级、技能引用、属性修改、治疗量和权重不变。</w:t>
      </w:r>
    </w:p>
    <w:p>
      <w:pPr>
        <w:outlineLvl w:val="9"/>
        <w:numPr>
          <w:ilvl w:val="0"/>
          <w:numId w:val="8"/>
        </w:numPr>
        <w:ind w:left="600" w:hanging="420" w:leftChars="0" w:firstLineChars="0"/>
      </w:pPr>
      <w:r>
        <w:rPr>
          <w:rFonts w:ascii="微软雅黑" w:hAnsi="微软雅黑" w:eastAsia="微软雅黑"/>
          <w:b w:val="0"/>
          <w:color w:val="333333"/>
          <w:sz w:val="18"/>
        </w:rPr>
        <w:t>Luban 在临时目录完成 C# 与 bytes 生成；不存在悬空引用、重复 ID、非法类型组合或 Schema 错误。</w:t>
      </w:r>
    </w:p>
    <w:p>
      <w:pPr>
        <w:outlineLvl w:val="9"/>
        <w:numPr>
          <w:ilvl w:val="0"/>
          <w:numId w:val="8"/>
        </w:numPr>
        <w:ind w:left="600" w:hanging="420" w:leftChars="0" w:firstLineChars="0"/>
      </w:pPr>
      <w:r>
        <w:rPr>
          <w:rFonts w:ascii="微软雅黑" w:hAnsi="微软雅黑" w:eastAsia="微软雅黑"/>
          <w:b w:val="0"/>
          <w:color w:val="333333"/>
          <w:sz w:val="18"/>
        </w:rPr>
        <w:t>正式运行时代码尚未切换前，不覆盖项目当前生成目录，避免制造半迁移的编译状态。</w:t>
      </w:r>
    </w:p>
    <w:p>
      <w:bookmarkStart w:id="24" w:name="_Toc24"/>
      <w:pPr>
        <w:pStyle w:val="4"/>
        <w:numPr>
          <w:ilvl w:val="1"/>
          <w:numId w:val="7"/>
        </w:numPr>
        <w:bidi w:val="0"/>
        <w:spacing w:after="156"/>
        <w:ind w:left="285" w:hanging="225" w:leftChars="0" w:firstLineChars="0"/>
        <w:outlineLvl w:val="1"/>
      </w:pPr>
      <w:r>
        <w:t>代码与自动化阶段</w:t>
      </w:r>
      <w:bookmarkEnd w:id="24"/>
    </w:p>
    <w:p>
      <w:pPr>
        <w:outlineLvl w:val="9"/>
        <w:numPr>
          <w:ilvl w:val="0"/>
          <w:numId w:val="8"/>
        </w:numPr>
        <w:ind w:left="600" w:hanging="420" w:leftChars="0" w:firstLineChars="0"/>
      </w:pPr>
      <w:r>
        <w:rPr>
          <w:rFonts w:ascii="微软雅黑" w:hAnsi="微软雅黑" w:eastAsia="微软雅黑"/>
          <w:b w:val="0"/>
          <w:color w:val="333333"/>
          <w:sz w:val="18"/>
        </w:rPr>
        <w:t>固定随机种子和相同输入下，候选顺序与选择结果可重复。</w:t>
      </w:r>
    </w:p>
    <w:p>
      <w:pPr>
        <w:outlineLvl w:val="9"/>
        <w:numPr>
          <w:ilvl w:val="0"/>
          <w:numId w:val="8"/>
        </w:numPr>
        <w:ind w:left="600" w:hanging="420" w:leftChars="0" w:firstLineChars="0"/>
      </w:pPr>
      <w:r>
        <w:rPr>
          <w:rFonts w:ascii="微软雅黑" w:hAnsi="微软雅黑" w:eastAsia="微软雅黑"/>
          <w:b w:val="0"/>
          <w:color w:val="333333"/>
          <w:sz w:val="18"/>
        </w:rPr>
        <w:t>权重无放回抽取、满级过滤、治疗可用性和三种耗尽策略均有纯逻辑测试。</w:t>
      </w:r>
    </w:p>
    <w:p>
      <w:pPr>
        <w:outlineLvl w:val="9"/>
        <w:numPr>
          <w:ilvl w:val="0"/>
          <w:numId w:val="8"/>
        </w:numPr>
        <w:ind w:left="600" w:hanging="420" w:leftChars="0" w:firstLineChars="0"/>
      </w:pPr>
      <w:r>
        <w:rPr>
          <w:rFonts w:ascii="微软雅黑" w:hAnsi="微软雅黑" w:eastAsia="微软雅黑"/>
          <w:b w:val="0"/>
          <w:color w:val="333333"/>
          <w:sz w:val="18"/>
        </w:rPr>
        <w:t>当前 4 个技能解锁、4 个属性强化和 1 个治疗的既有行为保持一致；候选不足异常按新耗尽策略修正。</w:t>
      </w:r>
    </w:p>
    <w:p>
      <w:pPr>
        <w:outlineLvl w:val="9"/>
        <w:numPr>
          <w:ilvl w:val="0"/>
          <w:numId w:val="8"/>
        </w:numPr>
        <w:ind w:left="600" w:hanging="420" w:leftChars="0" w:firstLineChars="0"/>
      </w:pPr>
      <w:r>
        <w:rPr>
          <w:rFonts w:ascii="微软雅黑" w:hAnsi="微软雅黑" w:eastAsia="微软雅黑"/>
          <w:b w:val="0"/>
          <w:color w:val="333333"/>
          <w:sz w:val="18"/>
        </w:rPr>
        <w:t>代码中不存在与 Excel 重复的业务默认值。</w:t>
      </w:r>
    </w:p>
    <w:p>
      <w:bookmarkStart w:id="25" w:name="_Toc25"/>
      <w:pPr>
        <w:pStyle w:val="4"/>
        <w:numPr>
          <w:ilvl w:val="1"/>
          <w:numId w:val="7"/>
        </w:numPr>
        <w:bidi w:val="0"/>
        <w:spacing w:after="156"/>
        <w:ind w:left="285" w:hanging="225" w:leftChars="0" w:firstLineChars="0"/>
        <w:outlineLvl w:val="1"/>
      </w:pPr>
      <w:r>
        <w:t>Unity 与人工阶段</w:t>
      </w:r>
      <w:bookmarkEnd w:id="25"/>
    </w:p>
    <w:p>
      <w:pPr/>
      <w:r>
        <w:rPr>
          <w:rFonts w:ascii="微软雅黑" w:hAnsi="微软雅黑" w:eastAsia="微软雅黑"/>
          <w:b w:val="0"/>
          <w:color w:val="333333"/>
          <w:sz w:val="18"/>
        </w:rPr>
        <w:t>Unity 空闲后再执行正式战斗场景回归：验证升级暂停、1～3 张卡片显示、点击提交、战斗恢复、重开、结算和退出清理。最终由用户以真实输入完成至少一局；只有明确反馈“测试通过”或“验收通过”才记录人工验收通过。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504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360"/>
      </w:pPr>
      <w:r>
        <w:separator/>
      </w:r>
    </w:p>
  </w:endnote>
  <w:endnote w:type="continuationSeparator" w:id="1">
    <w:p>
      <w:pPr>
        <w:spacing w:line="240" w:lineRule="auto"/>
        <w:ind w:firstLine="3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19D20A">
    <w:pPr>
      <w:pStyle w:val="27"/>
      <w:jc w:val="center"/>
    </w:pPr>
    <w:r/>
    <w:r>
      <w:rPr>
        <w:rFonts w:ascii="微软雅黑" w:hAnsi="微软雅黑" w:eastAsia="微软雅黑"/>
        <w:b w:val="0"/>
        <w:color w:val="23717D"/>
        <w:sz w:val="16"/>
      </w:rPr>
      <w:t xml:space="preserve">技能升级系统  |  V1.1  |  第 </w:t>
    </w:r>
    <w:r>
      <w:fldChar w:fldCharType="begin"/>
      <w:instrText xml:space="preserve">PAGE</w:instrText>
      <w:fldChar w:fldCharType="separate"/>
      <w:fldChar w:fldCharType="end"/>
    </w:r>
    <w:r>
      <w:rPr>
        <w:rFonts w:ascii="微软雅黑" w:hAnsi="微软雅黑" w:eastAsia="微软雅黑"/>
        <w:b w:val="0"/>
        <w:color w:val="23717D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  <w:ind w:firstLine="360"/>
      </w:pPr>
      <w:r>
        <w:separator/>
      </w:r>
    </w:p>
  </w:footnote>
  <w:footnote w:type="continuationSeparator" w:id="1">
    <w:p>
      <w:pPr>
        <w:spacing w:before="0" w:after="0" w:line="240" w:lineRule="auto"/>
        <w:ind w:firstLine="3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5EC41D">
    <w:pPr>
      <w:pStyle w:val="28"/>
      <w:jc w:val="right"/>
    </w:pPr>
    <w:r/>
    <w:r>
      <w:rPr>
        <w:rFonts w:ascii="微软雅黑" w:hAnsi="微软雅黑" w:eastAsia="微软雅黑"/>
        <w:b w:val="0"/>
        <w:color w:val="23717D"/>
        <w:sz w:val="16"/>
      </w:rPr>
      <w:t>氪金模拟器 · 系统策划文档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582C4F"/>
    <w:multiLevelType w:val="singleLevel"/>
    <w:tmpl w:val="DB582C4F"/>
    <w:lvl w:ilvl="0" w:tentative="0">
      <w:start w:val="1"/>
      <w:numFmt w:val="bullet"/>
      <w:pStyle w:val="17"/>
      <w:lvlText w:val=""/>
      <w:lvlJc w:val="left"/>
      <w:pPr>
        <w:tabs>
          <w:tab w:val="left" w:pos="23"/>
        </w:tabs>
        <w:ind w:left="900" w:hanging="360"/>
      </w:pPr>
      <w:rPr>
        <w:rFonts w:hint="default" w:ascii="Symbol" w:hAnsi="Symbol"/>
      </w:rPr>
    </w:lvl>
  </w:abstractNum>
  <w:abstractNum w:abstractNumId="1">
    <w:nsid w:val="E0FA5C65"/>
    <w:multiLevelType w:val="singleLevel"/>
    <w:tmpl w:val="E0FA5C6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482D7BCC"/>
    <w:multiLevelType w:val="multilevel"/>
    <w:tmpl w:val="482D7BC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285" w:leftChars="0" w:hanging="225" w:firstLineChars="0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8">
    <w:nsid w:val="70E3BD9B"/>
    <w:multiLevelType w:val="singleLevel"/>
    <w:tmpl w:val="70E3BD9B"/>
    <w:lvl w:ilvl="0" w:tentative="0">
      <w:start w:val="1"/>
      <w:numFmt w:val="bullet"/>
      <w:lvlText w:val=""/>
      <w:lvlJc w:val="left"/>
      <w:pPr>
        <w:ind w:left="600" w:hanging="420"/>
      </w:pPr>
      <w:rPr>
        <w:rFonts w:hint="default" w:ascii="Wingdings" w:hAnsi="Wingdings"/>
        <w:sz w:val="18"/>
        <w:szCs w:val="18"/>
      </w:rPr>
    </w:lvl>
  </w:abstractNum>
  <w:num w:numId="1">
    <w:abstractNumId w:val="3"/>
  </w:num>
  <w:num w:numId="2">
    <w:abstractNumId w:val="6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7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updateFields w:val="true"/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D60F4"/>
    <w:rsid w:val="0015074B"/>
    <w:rsid w:val="0029639D"/>
    <w:rsid w:val="00326F90"/>
    <w:rsid w:val="00AA1D8D"/>
    <w:rsid w:val="00B47730"/>
    <w:rsid w:val="00CB0664"/>
    <w:rsid w:val="00FC693F"/>
    <w:rsid w:val="02AE55E9"/>
    <w:rsid w:val="034164C5"/>
    <w:rsid w:val="03771E7F"/>
    <w:rsid w:val="04294F27"/>
    <w:rsid w:val="046C1E3F"/>
    <w:rsid w:val="061B4D44"/>
    <w:rsid w:val="070B300A"/>
    <w:rsid w:val="074D2EA9"/>
    <w:rsid w:val="0A053D41"/>
    <w:rsid w:val="0A6A3F8F"/>
    <w:rsid w:val="0CD468F7"/>
    <w:rsid w:val="0D333DBB"/>
    <w:rsid w:val="0D9F625A"/>
    <w:rsid w:val="0E3909FF"/>
    <w:rsid w:val="0EA11355"/>
    <w:rsid w:val="0EF07157"/>
    <w:rsid w:val="0F1F3AF7"/>
    <w:rsid w:val="0F3C1CFE"/>
    <w:rsid w:val="0FCB3DF0"/>
    <w:rsid w:val="108C5C64"/>
    <w:rsid w:val="10D17073"/>
    <w:rsid w:val="11347E65"/>
    <w:rsid w:val="11D96D2F"/>
    <w:rsid w:val="120E7745"/>
    <w:rsid w:val="14BB1F5D"/>
    <w:rsid w:val="156D6141"/>
    <w:rsid w:val="16655D64"/>
    <w:rsid w:val="16816E45"/>
    <w:rsid w:val="16C15797"/>
    <w:rsid w:val="16D87B29"/>
    <w:rsid w:val="16DB068B"/>
    <w:rsid w:val="17521B29"/>
    <w:rsid w:val="17706429"/>
    <w:rsid w:val="17A0154D"/>
    <w:rsid w:val="185537EF"/>
    <w:rsid w:val="18CC437C"/>
    <w:rsid w:val="19214CDE"/>
    <w:rsid w:val="1AB217D3"/>
    <w:rsid w:val="1BE834C2"/>
    <w:rsid w:val="2049398E"/>
    <w:rsid w:val="21A165ED"/>
    <w:rsid w:val="21C05A44"/>
    <w:rsid w:val="222A0391"/>
    <w:rsid w:val="222F59A7"/>
    <w:rsid w:val="22462CF1"/>
    <w:rsid w:val="23943321"/>
    <w:rsid w:val="24D42DE8"/>
    <w:rsid w:val="24EE1B49"/>
    <w:rsid w:val="251175E6"/>
    <w:rsid w:val="25FA3CE9"/>
    <w:rsid w:val="266F2816"/>
    <w:rsid w:val="268B161A"/>
    <w:rsid w:val="27A209C9"/>
    <w:rsid w:val="27CB4A96"/>
    <w:rsid w:val="28013942"/>
    <w:rsid w:val="29AB625B"/>
    <w:rsid w:val="29CC4423"/>
    <w:rsid w:val="2A16155F"/>
    <w:rsid w:val="2B0D4CF3"/>
    <w:rsid w:val="2BB30A2F"/>
    <w:rsid w:val="2D0D2D89"/>
    <w:rsid w:val="2DC07277"/>
    <w:rsid w:val="2EB53024"/>
    <w:rsid w:val="2F277F0A"/>
    <w:rsid w:val="2FB13E9F"/>
    <w:rsid w:val="30004E27"/>
    <w:rsid w:val="30782C0F"/>
    <w:rsid w:val="33AC35A2"/>
    <w:rsid w:val="33B43F5E"/>
    <w:rsid w:val="340824FC"/>
    <w:rsid w:val="347E631A"/>
    <w:rsid w:val="34D44803"/>
    <w:rsid w:val="35325A82"/>
    <w:rsid w:val="369B5CD3"/>
    <w:rsid w:val="37C329C2"/>
    <w:rsid w:val="387B329C"/>
    <w:rsid w:val="39A36BA3"/>
    <w:rsid w:val="3A302C09"/>
    <w:rsid w:val="3B003F2D"/>
    <w:rsid w:val="3BD9707D"/>
    <w:rsid w:val="3D3B3F7D"/>
    <w:rsid w:val="3D883A0B"/>
    <w:rsid w:val="3DF00289"/>
    <w:rsid w:val="3E657D2A"/>
    <w:rsid w:val="3F665914"/>
    <w:rsid w:val="3FF35E0E"/>
    <w:rsid w:val="4019602A"/>
    <w:rsid w:val="407D0E43"/>
    <w:rsid w:val="41012771"/>
    <w:rsid w:val="427F7E2D"/>
    <w:rsid w:val="428C60A6"/>
    <w:rsid w:val="42982C9D"/>
    <w:rsid w:val="43EA2ABB"/>
    <w:rsid w:val="44DA0ED2"/>
    <w:rsid w:val="44DE1B08"/>
    <w:rsid w:val="44FA12F2"/>
    <w:rsid w:val="475228EC"/>
    <w:rsid w:val="47FC157C"/>
    <w:rsid w:val="47FD3CCE"/>
    <w:rsid w:val="4CDF7E46"/>
    <w:rsid w:val="4E057AF3"/>
    <w:rsid w:val="4FBA06F6"/>
    <w:rsid w:val="4FD86F9E"/>
    <w:rsid w:val="50AC6291"/>
    <w:rsid w:val="51905BB3"/>
    <w:rsid w:val="52900663"/>
    <w:rsid w:val="53E051BF"/>
    <w:rsid w:val="53EA467D"/>
    <w:rsid w:val="545D78A2"/>
    <w:rsid w:val="56DB436E"/>
    <w:rsid w:val="57AC50AC"/>
    <w:rsid w:val="59213594"/>
    <w:rsid w:val="59D81758"/>
    <w:rsid w:val="5B70435F"/>
    <w:rsid w:val="5B7B51DE"/>
    <w:rsid w:val="5BA11EA0"/>
    <w:rsid w:val="5C69772C"/>
    <w:rsid w:val="5C9F4EFC"/>
    <w:rsid w:val="5CDA2B05"/>
    <w:rsid w:val="5F3B27EB"/>
    <w:rsid w:val="5F5C5326"/>
    <w:rsid w:val="5FF57D58"/>
    <w:rsid w:val="632413C3"/>
    <w:rsid w:val="64487C27"/>
    <w:rsid w:val="646D3B32"/>
    <w:rsid w:val="64801AB7"/>
    <w:rsid w:val="65420B1A"/>
    <w:rsid w:val="67220AB6"/>
    <w:rsid w:val="67580891"/>
    <w:rsid w:val="67E265E5"/>
    <w:rsid w:val="69166546"/>
    <w:rsid w:val="696E2110"/>
    <w:rsid w:val="69F05BB7"/>
    <w:rsid w:val="6A24611A"/>
    <w:rsid w:val="6A6A5B9E"/>
    <w:rsid w:val="6B9143EA"/>
    <w:rsid w:val="6C354F35"/>
    <w:rsid w:val="6DEA0FF9"/>
    <w:rsid w:val="6DED0C6F"/>
    <w:rsid w:val="6E5904CE"/>
    <w:rsid w:val="6E9946E1"/>
    <w:rsid w:val="6FBC5660"/>
    <w:rsid w:val="71B66B18"/>
    <w:rsid w:val="721C6777"/>
    <w:rsid w:val="729D3834"/>
    <w:rsid w:val="73591E51"/>
    <w:rsid w:val="736E6F7E"/>
    <w:rsid w:val="7398398D"/>
    <w:rsid w:val="73F6144E"/>
    <w:rsid w:val="752B3379"/>
    <w:rsid w:val="76CC0B8C"/>
    <w:rsid w:val="76FE0619"/>
    <w:rsid w:val="787C3EEC"/>
    <w:rsid w:val="7D657644"/>
    <w:rsid w:val="7DAB14FB"/>
    <w:rsid w:val="7E464D80"/>
    <w:rsid w:val="7F7917B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微软雅黑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qFormat="1"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0" w:afterLines="50" w:line="330" w:lineRule="atLeast"/>
      <w:ind w:firstLine="200" w:firstLineChars="200"/>
    </w:pPr>
    <w:rPr>
      <w:rFonts w:ascii="微软雅黑" w:hAnsi="微软雅黑" w:eastAsia="微软雅黑" w:cs="微软雅黑"/>
      <w:color w:val="333333"/>
      <w:kern w:val="0"/>
      <w:sz w:val="18"/>
      <w:szCs w:val="18"/>
      <w:u w:color="000000"/>
      <w:lang w:val="en-US" w:eastAsia="微软雅黑" w:bidi="ar-SA"/>
    </w:rPr>
  </w:style>
  <w:style w:type="paragraph" w:styleId="3">
    <w:name w:val="heading 1"/>
    <w:next w:val="1"/>
    <w:link w:val="180"/>
    <w:qFormat/>
    <w:uiPriority w:val="0"/>
    <w:pPr>
      <w:numPr>
        <w:ilvl w:val="0"/>
        <w:numId w:val="1"/>
      </w:numPr>
      <w:tabs>
        <w:tab w:val="left" w:pos="567"/>
      </w:tabs>
      <w:spacing w:after="156"/>
      <w:outlineLvl w:val="0"/>
    </w:pPr>
    <w:rPr>
      <w:rFonts w:ascii="微软雅黑" w:hAnsi="微软雅黑" w:eastAsia="微软雅黑" w:cs="微软雅黑"/>
      <w:b/>
      <w:color w:val="1F497D" w:themeColor="text2"/>
      <w:kern w:val="0"/>
      <w:sz w:val="32"/>
      <w:szCs w:val="32"/>
      <w:u w:color="000000"/>
      <w:lang w:val="en-US" w:eastAsia="微软雅黑" w:bidi="ar-SA"/>
      <w14:textFill>
        <w14:solidFill>
          <w14:schemeClr w14:val="tx2"/>
        </w14:solidFill>
      </w14:textFill>
    </w:rPr>
  </w:style>
  <w:style w:type="paragraph" w:styleId="4">
    <w:name w:val="heading 2"/>
    <w:basedOn w:val="3"/>
    <w:next w:val="1"/>
    <w:link w:val="172"/>
    <w:qFormat/>
    <w:uiPriority w:val="0"/>
    <w:pPr>
      <w:numPr>
        <w:ilvl w:val="1"/>
      </w:num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  <w:tab w:val="clear" w:pos="567"/>
        <w:tab w:val="clear" w:pos="720"/>
      </w:tabs>
      <w:spacing w:after="50"/>
      <w:ind w:left="0" w:firstLine="0"/>
      <w:outlineLvl w:val="1"/>
    </w:pPr>
    <w:rPr>
      <w:color w:val="558ED5" w:themeColor="text2" w:themeTint="99"/>
      <w:sz w:val="28"/>
      <w:szCs w:val="28"/>
      <w14:textFill>
        <w14:solidFill>
          <w14:schemeClr w14:val="tx2">
            <w14:lumMod w14:val="60000"/>
            <w14:lumOff w14:val="40000"/>
          </w14:schemeClr>
        </w14:solidFill>
      </w14:textFill>
    </w:rPr>
  </w:style>
  <w:style w:type="paragraph" w:styleId="5">
    <w:name w:val="heading 3"/>
    <w:basedOn w:val="1"/>
    <w:next w:val="1"/>
    <w:unhideWhenUsed/>
    <w:qFormat/>
    <w:uiPriority w:val="0"/>
    <w:pPr>
      <w:numPr>
        <w:ilvl w:val="2"/>
        <w:numId w:val="1"/>
      </w:numPr>
      <w:tabs>
        <w:tab w:val="left" w:pos="720"/>
      </w:tabs>
      <w:ind w:left="0" w:firstLine="0"/>
      <w:outlineLvl w:val="2"/>
    </w:pPr>
    <w:rPr>
      <w:b/>
      <w:color w:val="auto"/>
      <w:sz w:val="21"/>
      <w:szCs w:val="21"/>
    </w:rPr>
  </w:style>
  <w:style w:type="paragraph" w:styleId="6">
    <w:name w:val="heading 4"/>
    <w:basedOn w:val="1"/>
    <w:next w:val="1"/>
    <w:link w:val="182"/>
    <w:unhideWhenUsed/>
    <w:qFormat/>
    <w:uiPriority w:val="0"/>
    <w:pPr>
      <w:numPr>
        <w:ilvl w:val="3"/>
        <w:numId w:val="1"/>
      </w:numPr>
      <w:tabs>
        <w:tab w:val="left" w:pos="720"/>
      </w:tabs>
      <w:spacing w:after="156"/>
      <w:outlineLvl w:val="3"/>
    </w:pPr>
    <w:rPr>
      <w:rFonts w:hAnsiTheme="majorHAnsi" w:cstheme="majorBidi"/>
      <w:b/>
      <w:bCs/>
      <w:szCs w:val="28"/>
    </w:rPr>
  </w:style>
  <w:style w:type="paragraph" w:styleId="7">
    <w:name w:val="heading 5"/>
    <w:basedOn w:val="1"/>
    <w:next w:val="1"/>
    <w:unhideWhenUsed/>
    <w:qFormat/>
    <w:uiPriority w:val="0"/>
    <w:pPr>
      <w:numPr>
        <w:ilvl w:val="4"/>
        <w:numId w:val="1"/>
      </w:numPr>
      <w:tabs>
        <w:tab w:val="left" w:pos="720"/>
      </w:tabs>
      <w:spacing w:after="156" w:line="376" w:lineRule="atLeast"/>
      <w:outlineLvl w:val="4"/>
    </w:pPr>
    <w:rPr>
      <w:bCs/>
      <w:szCs w:val="28"/>
    </w:rPr>
  </w:style>
  <w:style w:type="paragraph" w:styleId="8">
    <w:name w:val="heading 6"/>
    <w:basedOn w:val="1"/>
    <w:next w:val="1"/>
    <w:link w:val="171"/>
    <w:unhideWhenUsed/>
    <w:qFormat/>
    <w:uiPriority w:val="0"/>
    <w:pPr>
      <w:numPr>
        <w:ilvl w:val="5"/>
        <w:numId w:val="1"/>
      </w:numPr>
      <w:tabs>
        <w:tab w:val="left" w:pos="720"/>
      </w:tabs>
      <w:spacing w:after="156" w:line="320" w:lineRule="atLeast"/>
      <w:outlineLvl w:val="5"/>
    </w:pPr>
    <w:rPr>
      <w:rFonts w:asciiTheme="majorHAnsi" w:hAnsiTheme="majorHAnsi" w:eastAsiaTheme="majorEastAsia" w:cstheme="majorBidi"/>
      <w:bCs/>
    </w:rPr>
  </w:style>
  <w:style w:type="paragraph" w:styleId="9">
    <w:name w:val="heading 7"/>
    <w:basedOn w:val="1"/>
    <w:next w:val="1"/>
    <w:link w:val="187"/>
    <w:unhideWhenUsed/>
    <w:qFormat/>
    <w:uiPriority w:val="0"/>
    <w:pPr>
      <w:numPr>
        <w:ilvl w:val="6"/>
        <w:numId w:val="1"/>
      </w:numPr>
      <w:tabs>
        <w:tab w:val="left" w:pos="720"/>
      </w:tabs>
      <w:spacing w:after="156" w:line="320" w:lineRule="atLeast"/>
      <w:outlineLvl w:val="6"/>
    </w:pPr>
    <w:rPr>
      <w:bCs/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90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7">
    <w:name w:val="Default Paragraph Font"/>
    <w:semiHidden/>
    <w:unhideWhenUsed/>
    <w:qFormat/>
    <w:uiPriority w:val="1"/>
  </w:style>
  <w:style w:type="table" w:default="1" w:styleId="3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微软雅黑" w:hAnsi="微软雅黑" w:eastAsiaTheme="minorEastAsia" w:cstheme="minorBidi"/>
      <w:sz w:val="20"/>
      <w:szCs w:val="20"/>
      <w:lang w:val="en-US" w:eastAsia="微软雅黑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toc 7"/>
    <w:basedOn w:val="1"/>
    <w:next w:val="1"/>
    <w:autoRedefine/>
    <w:semiHidden/>
    <w:unhideWhenUsed/>
    <w:qFormat/>
    <w:uiPriority w:val="39"/>
    <w:pPr>
      <w:ind w:left="2520" w:leftChars="1200"/>
    </w:pPr>
  </w:style>
  <w:style w:type="paragraph" w:styleId="14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5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6">
    <w:name w:val="caption"/>
    <w:basedOn w:val="1"/>
    <w:next w:val="1"/>
    <w:link w:val="178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List Bullet"/>
    <w:basedOn w:val="1"/>
    <w:unhideWhenUsed/>
    <w:qFormat/>
    <w:uiPriority w:val="99"/>
    <w:pPr>
      <w:numPr>
        <w:ilvl w:val="0"/>
        <w:numId w:val="3"/>
      </w:numPr>
      <w:tabs>
        <w:tab w:val="left" w:pos="57"/>
        <w:tab w:val="left" w:pos="360"/>
      </w:tabs>
      <w:ind w:firstLineChars="0"/>
      <w:contextualSpacing/>
    </w:pPr>
  </w:style>
  <w:style w:type="paragraph" w:styleId="18">
    <w:name w:val="Body Text 3"/>
    <w:basedOn w:val="1"/>
    <w:link w:val="163"/>
    <w:unhideWhenUsed/>
    <w:qFormat/>
    <w:uiPriority w:val="99"/>
    <w:pPr>
      <w:spacing w:after="120"/>
    </w:pPr>
    <w:rPr>
      <w:sz w:val="16"/>
      <w:szCs w:val="16"/>
    </w:rPr>
  </w:style>
  <w:style w:type="paragraph" w:styleId="19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0">
    <w:name w:val="Body Text"/>
    <w:basedOn w:val="1"/>
    <w:link w:val="183"/>
    <w:unhideWhenUsed/>
    <w:qFormat/>
    <w:uiPriority w:val="99"/>
    <w:pPr>
      <w:spacing w:after="120"/>
    </w:pPr>
  </w:style>
  <w:style w:type="paragraph" w:styleId="21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2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3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5">
    <w:name w:val="toc 3"/>
    <w:basedOn w:val="1"/>
    <w:next w:val="1"/>
    <w:autoRedefine/>
    <w:unhideWhenUsed/>
    <w:qFormat/>
    <w:uiPriority w:val="39"/>
    <w:pPr>
      <w:ind w:left="840" w:leftChars="400"/>
    </w:pPr>
    <w:rPr>
      <w:color w:val="auto"/>
    </w:rPr>
  </w:style>
  <w:style w:type="paragraph" w:styleId="26">
    <w:name w:val="Balloon Text"/>
    <w:basedOn w:val="1"/>
    <w:semiHidden/>
    <w:unhideWhenUsed/>
    <w:qFormat/>
    <w:uiPriority w:val="99"/>
    <w:pPr>
      <w:spacing w:line="240" w:lineRule="auto"/>
    </w:pPr>
  </w:style>
  <w:style w:type="paragraph" w:styleId="27">
    <w:name w:val="footer"/>
    <w:basedOn w:val="1"/>
    <w:link w:val="16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8">
    <w:name w:val="header"/>
    <w:basedOn w:val="1"/>
    <w:link w:val="173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9">
    <w:name w:val="toc 1"/>
    <w:basedOn w:val="1"/>
    <w:next w:val="1"/>
    <w:autoRedefine/>
    <w:unhideWhenUsed/>
    <w:qFormat/>
    <w:uiPriority w:val="39"/>
    <w:rPr>
      <w:color w:val="FF0000"/>
      <w:rFonts w:ascii="微软雅黑" w:hAnsi="微软雅黑" w:eastAsia="微软雅黑"/>
    </w:rPr>
  </w:style>
  <w:style w:type="paragraph" w:styleId="30">
    <w:name w:val="Subtitle"/>
    <w:basedOn w:val="1"/>
    <w:next w:val="1"/>
    <w:qFormat/>
    <w:uiPriority w:val="11"/>
    <w:pPr>
      <w:spacing w:after="240"/>
      <w:jc w:val="center"/>
    </w:pPr>
    <w:rPr>
      <w:b/>
      <w:bCs/>
      <w:color w:val="003399"/>
      <w:sz w:val="24"/>
    </w:rPr>
  </w:style>
  <w:style w:type="paragraph" w:styleId="31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2">
    <w:name w:val="toc 2"/>
    <w:basedOn w:val="1"/>
    <w:next w:val="1"/>
    <w:autoRedefine/>
    <w:unhideWhenUsed/>
    <w:qFormat/>
    <w:uiPriority w:val="39"/>
    <w:pPr>
      <w:ind w:left="420" w:leftChars="200"/>
    </w:pPr>
    <w:rPr>
      <w:color w:val="3366FF"/>
      <w:rFonts w:ascii="微软雅黑" w:hAnsi="微软雅黑" w:eastAsia="微软雅黑"/>
    </w:rPr>
  </w:style>
  <w:style w:type="paragraph" w:styleId="33">
    <w:name w:val="Body Text 2"/>
    <w:basedOn w:val="1"/>
    <w:link w:val="170"/>
    <w:unhideWhenUsed/>
    <w:qFormat/>
    <w:uiPriority w:val="99"/>
    <w:pPr>
      <w:spacing w:after="120" w:line="480" w:lineRule="auto"/>
    </w:pPr>
  </w:style>
  <w:style w:type="paragraph" w:styleId="34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5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6">
    <w:name w:val="Title"/>
    <w:basedOn w:val="1"/>
    <w:next w:val="1"/>
    <w:qFormat/>
    <w:uiPriority w:val="10"/>
    <w:pPr>
      <w:spacing w:after="240"/>
      <w:jc w:val="center"/>
      <w:outlineLvl w:val="9"/>
    </w:pPr>
    <w:rPr>
      <w:b/>
      <w:bCs/>
      <w:color w:val="003399"/>
      <w:sz w:val="44"/>
      <w:szCs w:val="44"/>
    </w:rPr>
  </w:style>
  <w:style w:type="table" w:styleId="38">
    <w:name w:val="Table Grid"/>
    <w:basedOn w:val="37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9">
    <w:name w:val="Light Shading"/>
    <w:basedOn w:val="37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0">
    <w:name w:val="Light Shading Accent 1"/>
    <w:basedOn w:val="37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1">
    <w:name w:val="Light Shading Accent 2"/>
    <w:basedOn w:val="37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2">
    <w:name w:val="Light Shading Accent 3"/>
    <w:basedOn w:val="37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3">
    <w:name w:val="Light Shading Accent 4"/>
    <w:basedOn w:val="37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4">
    <w:name w:val="Light Shading Accent 5"/>
    <w:basedOn w:val="37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5">
    <w:name w:val="Light Shading Accent 6"/>
    <w:basedOn w:val="37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6">
    <w:name w:val="Light List"/>
    <w:basedOn w:val="37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7">
    <w:name w:val="Light List Accent 1"/>
    <w:basedOn w:val="37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8">
    <w:name w:val="Light List Accent 2"/>
    <w:basedOn w:val="37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9">
    <w:name w:val="Light List Accent 3"/>
    <w:basedOn w:val="37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0">
    <w:name w:val="Light List Accent 4"/>
    <w:basedOn w:val="37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1">
    <w:name w:val="Light List Accent 5"/>
    <w:basedOn w:val="37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2">
    <w:name w:val="Light List Accent 6"/>
    <w:basedOn w:val="37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3">
    <w:name w:val="Light Grid"/>
    <w:basedOn w:val="37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4">
    <w:name w:val="Light Grid Accent 1"/>
    <w:basedOn w:val="37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5">
    <w:name w:val="Light Grid Accent 2"/>
    <w:basedOn w:val="37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6">
    <w:name w:val="Light Grid Accent 3"/>
    <w:basedOn w:val="37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7">
    <w:name w:val="Light Grid Accent 4"/>
    <w:basedOn w:val="37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8">
    <w:name w:val="Light Grid Accent 5"/>
    <w:basedOn w:val="37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9">
    <w:name w:val="Light Grid Accent 6"/>
    <w:basedOn w:val="37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0">
    <w:name w:val="Medium Shading 1"/>
    <w:basedOn w:val="37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1"/>
    <w:basedOn w:val="37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2"/>
    <w:basedOn w:val="37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3"/>
    <w:basedOn w:val="37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4"/>
    <w:basedOn w:val="37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5"/>
    <w:basedOn w:val="37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1 Accent 6"/>
    <w:basedOn w:val="37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7">
    <w:name w:val="Medium Shading 2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1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2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3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4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5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Shading 2 Accent 6"/>
    <w:basedOn w:val="37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4">
    <w:name w:val="Medium Lis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5">
    <w:name w:val="Medium List 1 Accent 1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6">
    <w:name w:val="Medium List 1 Accent 2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7">
    <w:name w:val="Medium List 1 Accent 3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8">
    <w:name w:val="Medium List 1 Accent 4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9">
    <w:name w:val="Medium List 1 Accent 5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0">
    <w:name w:val="Medium List 1 Accent 6"/>
    <w:basedOn w:val="37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1">
    <w:name w:val="Medium List 2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1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2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3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4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5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List 2 Accent 6"/>
    <w:basedOn w:val="37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8">
    <w:name w:val="Medium Grid 1"/>
    <w:basedOn w:val="37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9">
    <w:name w:val="Medium Grid 1 Accent 1"/>
    <w:basedOn w:val="37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0">
    <w:name w:val="Medium Grid 1 Accent 2"/>
    <w:basedOn w:val="37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1">
    <w:name w:val="Medium Grid 1 Accent 3"/>
    <w:basedOn w:val="37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2">
    <w:name w:val="Medium Grid 1 Accent 4"/>
    <w:basedOn w:val="37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3">
    <w:name w:val="Medium Grid 1 Accent 5"/>
    <w:basedOn w:val="37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4">
    <w:name w:val="Medium Grid 1 Accent 6"/>
    <w:basedOn w:val="37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5">
    <w:name w:val="Medium Grid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1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2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3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4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5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2 Accent 6"/>
    <w:basedOn w:val="37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2">
    <w:name w:val="Medium Grid 3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3">
    <w:name w:val="Medium Grid 3 Accent 1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4">
    <w:name w:val="Medium Grid 3 Accent 2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5">
    <w:name w:val="Medium Grid 3 Accent 3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6">
    <w:name w:val="Medium Grid 3 Accent 4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7">
    <w:name w:val="Medium Grid 3 Accent 5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8">
    <w:name w:val="Medium Grid 3 Accent 6"/>
    <w:basedOn w:val="37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9">
    <w:name w:val="Dark List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0">
    <w:name w:val="Dark List Accent 1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1">
    <w:name w:val="Dark List Accent 2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2">
    <w:name w:val="Dark List Accent 3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3">
    <w:name w:val="Dark List Accent 4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4">
    <w:name w:val="Dark List Accent 5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5">
    <w:name w:val="Dark List Accent 6"/>
    <w:basedOn w:val="37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6">
    <w:name w:val="Colorful Shading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1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2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3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0">
    <w:name w:val="Colorful Shading Accent 4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5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Shading Accent 6"/>
    <w:basedOn w:val="37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3">
    <w:name w:val="Colorful List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4">
    <w:name w:val="Colorful List Accent 1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5">
    <w:name w:val="Colorful List Accent 2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6">
    <w:name w:val="Colorful List Accent 3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7">
    <w:name w:val="Colorful List Accent 4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8">
    <w:name w:val="Colorful List Accent 5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9">
    <w:name w:val="Colorful List Accent 6"/>
    <w:basedOn w:val="37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0">
    <w:name w:val="Colorful Grid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1">
    <w:name w:val="Colorful Grid Accent 1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2">
    <w:name w:val="Colorful Grid Accent 2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3">
    <w:name w:val="Colorful Grid Accent 3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4">
    <w:name w:val="Colorful Grid Accent 4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5">
    <w:name w:val="Colorful Grid Accent 5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6">
    <w:name w:val="Colorful Grid Accent 6"/>
    <w:basedOn w:val="37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8">
    <w:name w:val="Strong"/>
    <w:basedOn w:val="137"/>
    <w:qFormat/>
    <w:uiPriority w:val="22"/>
    <w:rPr>
      <w:b/>
      <w:bCs/>
    </w:rPr>
  </w:style>
  <w:style w:type="character" w:styleId="139">
    <w:name w:val="Emphasis"/>
    <w:basedOn w:val="137"/>
    <w:qFormat/>
    <w:uiPriority w:val="20"/>
    <w:rPr>
      <w:i/>
      <w:iCs/>
    </w:rPr>
  </w:style>
  <w:style w:type="character" w:styleId="140">
    <w:name w:val="Hyperlink"/>
    <w:unhideWhenUsed/>
    <w:qFormat/>
    <w:uiPriority w:val="99"/>
    <w:rPr>
      <w:color w:val="0000FF"/>
      <w:u w:val="single"/>
    </w:rPr>
  </w:style>
  <w:style w:type="character" w:customStyle="1" w:styleId="141">
    <w:name w:val="Heading 1 Char"/>
    <w:basedOn w:val="137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7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页眉 Char"/>
    <w:qFormat/>
    <w:uiPriority w:val="0"/>
    <w:rPr>
      <w:rFonts w:ascii="微软雅黑" w:hAnsi="微软雅黑" w:eastAsia="微软雅黑" w:cs="微软雅黑"/>
      <w:color w:val="333333"/>
      <w:kern w:val="0"/>
      <w:sz w:val="18"/>
      <w:szCs w:val="18"/>
      <w:u w:color="000000"/>
    </w:rPr>
  </w:style>
  <w:style w:type="character" w:customStyle="1" w:styleId="144">
    <w:name w:val="Intense Emphasis"/>
    <w:basedOn w:val="137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5">
    <w:name w:val="页脚 Char"/>
    <w:qFormat/>
    <w:uiPriority w:val="99"/>
    <w:rPr>
      <w:rFonts w:ascii="微软雅黑" w:hAnsi="微软雅黑" w:eastAsia="微软雅黑" w:cs="微软雅黑"/>
      <w:color w:val="333333"/>
      <w:kern w:val="0"/>
      <w:sz w:val="18"/>
      <w:szCs w:val="18"/>
      <w:u w:color="000000"/>
    </w:rPr>
  </w:style>
  <w:style w:type="character" w:customStyle="1" w:styleId="146">
    <w:name w:val="Quote Char"/>
    <w:basedOn w:val="137"/>
    <w:link w:val="147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47">
    <w:name w:val="Quote"/>
    <w:basedOn w:val="1"/>
    <w:next w:val="1"/>
    <w:link w:val="14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8">
    <w:name w:val="Macro Text Char"/>
    <w:basedOn w:val="137"/>
    <w:link w:val="2"/>
    <w:qFormat/>
    <w:uiPriority w:val="99"/>
    <w:rPr>
      <w:rFonts w:ascii="微软雅黑" w:hAnsi="微软雅黑"/>
      <w:sz w:val="20"/>
      <w:szCs w:val="20"/>
    </w:rPr>
  </w:style>
  <w:style w:type="character" w:customStyle="1" w:styleId="149">
    <w:name w:val="ht09011"/>
    <w:qFormat/>
    <w:uiPriority w:val="0"/>
    <w:rPr>
      <w:rFonts w:ascii="微软雅黑" w:hAnsi="微软雅黑"/>
      <w:color w:val="333333"/>
      <w:sz w:val="18"/>
    </w:rPr>
  </w:style>
  <w:style w:type="character" w:customStyle="1" w:styleId="150">
    <w:name w:val="备注 Char"/>
    <w:qFormat/>
    <w:uiPriority w:val="0"/>
    <w:rPr>
      <w:rFonts w:ascii="微软雅黑" w:hAnsi="微软雅黑" w:eastAsia="微软雅黑" w:cs="微软雅黑"/>
      <w:color w:val="808080"/>
      <w:kern w:val="0"/>
      <w:sz w:val="18"/>
      <w:szCs w:val="20"/>
      <w:u w:color="000000"/>
    </w:rPr>
  </w:style>
  <w:style w:type="character" w:customStyle="1" w:styleId="151">
    <w:name w:val="Title Char"/>
    <w:basedOn w:val="1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customStyle="1" w:styleId="152">
    <w:name w:val="表格正文"/>
    <w:basedOn w:val="1"/>
    <w:qFormat/>
    <w:uiPriority w:val="0"/>
    <w:pPr>
      <w:spacing w:afterLines="0" w:line="240" w:lineRule="auto"/>
      <w:ind w:left="0" w:leftChars="0" w:right="0" w:rightChars="0" w:firstLine="0" w:firstLineChars="0" w:hanging="0" w:hangingChars="0"/>
      <w:jc w:val="center"/>
    </w:pPr>
  </w:style>
  <w:style w:type="character" w:customStyle="1" w:styleId="153">
    <w:name w:val="Subtitle Char"/>
    <w:basedOn w:val="137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54">
    <w:name w:val="标题 4 Char"/>
    <w:qFormat/>
    <w:uiPriority w:val="9"/>
    <w:rPr>
      <w:rFonts w:ascii="微软雅黑" w:eastAsia="微软雅黑" w:hAnsiTheme="majorHAnsi" w:cstheme="majorBidi"/>
      <w:b/>
      <w:bCs/>
      <w:color w:val="333333"/>
      <w:kern w:val="0"/>
      <w:sz w:val="18"/>
      <w:szCs w:val="28"/>
      <w:u w:color="000000"/>
    </w:rPr>
  </w:style>
  <w:style w:type="paragraph" w:styleId="155">
    <w:name w:val="List Paragraph"/>
    <w:basedOn w:val="1"/>
    <w:qFormat/>
    <w:uiPriority w:val="34"/>
    <w:pPr>
      <w:ind w:left="720"/>
      <w:contextualSpacing/>
    </w:pPr>
  </w:style>
  <w:style w:type="character" w:customStyle="1" w:styleId="156">
    <w:name w:val="Heading 8 Char"/>
    <w:basedOn w:val="137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Body Text 3 Char"/>
    <w:basedOn w:val="137"/>
    <w:link w:val="18"/>
    <w:qFormat/>
    <w:uiPriority w:val="99"/>
    <w:rPr>
      <w:sz w:val="16"/>
      <w:szCs w:val="16"/>
    </w:rPr>
  </w:style>
  <w:style w:type="character" w:customStyle="1" w:styleId="158">
    <w:name w:val="标题 5 Char"/>
    <w:qFormat/>
    <w:uiPriority w:val="9"/>
    <w:rPr>
      <w:rFonts w:ascii="微软雅黑" w:hAnsi="微软雅黑" w:eastAsia="微软雅黑" w:cs="微软雅黑"/>
      <w:bCs/>
      <w:color w:val="333333"/>
      <w:kern w:val="0"/>
      <w:sz w:val="18"/>
      <w:szCs w:val="28"/>
      <w:u w:color="000000"/>
    </w:rPr>
  </w:style>
  <w:style w:type="character" w:customStyle="1" w:styleId="159">
    <w:name w:val="小标题 Char"/>
    <w:qFormat/>
    <w:uiPriority w:val="0"/>
    <w:rPr>
      <w:rFonts w:ascii="微软雅黑" w:hAnsi="微软雅黑" w:eastAsia="微软雅黑" w:cs="微软雅黑"/>
      <w:b/>
      <w:bCs/>
      <w:color w:val="333333"/>
      <w:kern w:val="0"/>
      <w:sz w:val="18"/>
      <w:szCs w:val="20"/>
      <w:u w:color="000000"/>
    </w:rPr>
  </w:style>
  <w:style w:type="character" w:customStyle="1" w:styleId="160">
    <w:name w:val="Intense Quote Char"/>
    <w:basedOn w:val="137"/>
    <w:link w:val="161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161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customStyle="1" w:styleId="162">
    <w:name w:val="表格标题"/>
    <w:qFormat/>
    <w:uiPriority w:val="0"/>
    <w:pPr>
      <w:jc w:val="center"/>
    </w:pPr>
    <w:rPr>
      <w:rFonts w:asciiTheme="minorHAnsi" w:hAnsiTheme="minorHAnsi" w:eastAsiaTheme="minorEastAsia" w:cstheme="minorBidi"/>
      <w:b/>
      <w:color w:val="FFFFFF"/>
    </w:rPr>
  </w:style>
  <w:style w:type="character" w:customStyle="1" w:styleId="163">
    <w:name w:val="标题 Char"/>
    <w:link w:val="18"/>
    <w:qFormat/>
    <w:uiPriority w:val="10"/>
    <w:rPr>
      <w:rFonts w:ascii="微软雅黑" w:hAnsi="微软雅黑" w:eastAsia="微软雅黑" w:cs="微软雅黑"/>
      <w:b/>
      <w:bCs/>
      <w:color w:val="003399"/>
      <w:kern w:val="0"/>
      <w:sz w:val="44"/>
      <w:szCs w:val="44"/>
      <w:u w:color="000000"/>
    </w:rPr>
  </w:style>
  <w:style w:type="paragraph" w:customStyle="1" w:styleId="164">
    <w:name w:val="备注"/>
    <w:basedOn w:val="1"/>
    <w:qFormat/>
    <w:uiPriority w:val="0"/>
    <w:pPr>
      <w:ind w:left="1272" w:leftChars="699" w:hanging="14" w:hangingChars="8"/>
    </w:pPr>
    <w:rPr>
      <w:color w:val="808080"/>
      <w:szCs w:val="20"/>
    </w:rPr>
  </w:style>
  <w:style w:type="character" w:customStyle="1" w:styleId="165">
    <w:name w:val="标题 7 Char"/>
    <w:link w:val="8"/>
    <w:qFormat/>
    <w:uiPriority w:val="9"/>
    <w:rPr>
      <w:rFonts w:ascii="微软雅黑" w:hAnsi="微软雅黑" w:eastAsia="微软雅黑" w:cs="微软雅黑"/>
      <w:bCs/>
      <w:color w:val="333333"/>
      <w:kern w:val="0"/>
      <w:sz w:val="18"/>
      <w:szCs w:val="18"/>
      <w:u w:color="000000"/>
    </w:rPr>
  </w:style>
  <w:style w:type="character" w:customStyle="1" w:styleId="166">
    <w:name w:val="Footer Char"/>
    <w:basedOn w:val="137"/>
    <w:link w:val="27"/>
    <w:qFormat/>
    <w:uiPriority w:val="99"/>
  </w:style>
  <w:style w:type="character" w:customStyle="1" w:styleId="167">
    <w:name w:val="标题 1 Char"/>
    <w:link w:val="2"/>
    <w:qFormat/>
    <w:uiPriority w:val="0"/>
    <w:rPr>
      <w:rFonts w:ascii="微软雅黑" w:hAnsi="微软雅黑" w:eastAsia="微软雅黑" w:cs="微软雅黑"/>
      <w:b/>
      <w:color w:val="1F497D" w:themeColor="text2"/>
      <w:kern w:val="0"/>
      <w:sz w:val="32"/>
      <w:szCs w:val="32"/>
      <w:u w:color="000000"/>
      <w14:textFill>
        <w14:solidFill>
          <w14:schemeClr w14:val="tx2"/>
        </w14:solidFill>
      </w14:textFill>
    </w:rPr>
  </w:style>
  <w:style w:type="character" w:customStyle="1" w:styleId="168">
    <w:name w:val="Subtle Reference"/>
    <w:basedOn w:val="137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9">
    <w:name w:val="正文标题 Char"/>
    <w:qFormat/>
    <w:uiPriority w:val="0"/>
    <w:rPr>
      <w:rFonts w:ascii="微软雅黑" w:hAnsi="微软雅黑" w:eastAsia="微软雅黑" w:cs="微软雅黑"/>
      <w:b/>
      <w:bCs/>
      <w:color w:val="003399"/>
      <w:kern w:val="0"/>
      <w:sz w:val="24"/>
      <w:szCs w:val="18"/>
      <w:u w:color="000000"/>
    </w:rPr>
  </w:style>
  <w:style w:type="character" w:customStyle="1" w:styleId="170">
    <w:name w:val="Body Text 2 Char"/>
    <w:basedOn w:val="137"/>
    <w:link w:val="33"/>
    <w:qFormat/>
    <w:uiPriority w:val="99"/>
  </w:style>
  <w:style w:type="character" w:customStyle="1" w:styleId="171">
    <w:name w:val="Heading 6 Char"/>
    <w:basedOn w:val="137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72">
    <w:name w:val="标题 3 Char"/>
    <w:link w:val="4"/>
    <w:qFormat/>
    <w:uiPriority w:val="0"/>
    <w:rPr>
      <w:rFonts w:ascii="微软雅黑" w:hAnsi="微软雅黑" w:eastAsia="微软雅黑" w:cs="微软雅黑"/>
      <w:b/>
      <w:kern w:val="0"/>
      <w:szCs w:val="21"/>
      <w:u w:color="000000"/>
    </w:rPr>
  </w:style>
  <w:style w:type="character" w:customStyle="1" w:styleId="173">
    <w:name w:val="Header Char"/>
    <w:basedOn w:val="137"/>
    <w:link w:val="28"/>
    <w:qFormat/>
    <w:uiPriority w:val="99"/>
  </w:style>
  <w:style w:type="character" w:customStyle="1" w:styleId="174">
    <w:name w:val="Book Title"/>
    <w:basedOn w:val="137"/>
    <w:qFormat/>
    <w:uiPriority w:val="33"/>
    <w:rPr>
      <w:b/>
      <w:bCs/>
      <w:smallCaps/>
      <w:spacing w:val="5"/>
    </w:rPr>
  </w:style>
  <w:style w:type="character" w:customStyle="1" w:styleId="175">
    <w:name w:val="标题 6 Char"/>
    <w:qFormat/>
    <w:uiPriority w:val="9"/>
    <w:rPr>
      <w:rFonts w:asciiTheme="majorHAnsi" w:hAnsiTheme="majorHAnsi" w:eastAsiaTheme="majorEastAsia" w:cstheme="majorBidi"/>
      <w:bCs/>
      <w:color w:val="333333"/>
      <w:kern w:val="0"/>
      <w:sz w:val="18"/>
      <w:szCs w:val="18"/>
      <w:u w:color="000000"/>
    </w:rPr>
  </w:style>
  <w:style w:type="paragraph" w:customStyle="1" w:styleId="176">
    <w:name w:val="正文标题"/>
    <w:basedOn w:val="1"/>
    <w:qFormat/>
    <w:uiPriority w:val="0"/>
    <w:pPr>
      <w:jc w:val="center"/>
    </w:pPr>
    <w:rPr>
      <w:b/>
      <w:bCs/>
      <w:color w:val="003399"/>
      <w:sz w:val="24"/>
    </w:rPr>
  </w:style>
  <w:style w:type="character" w:customStyle="1" w:styleId="177">
    <w:name w:val="Heading 3 Char"/>
    <w:basedOn w:val="137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8">
    <w:name w:val="副标题 Char"/>
    <w:link w:val="16"/>
    <w:qFormat/>
    <w:uiPriority w:val="11"/>
    <w:rPr>
      <w:rFonts w:ascii="微软雅黑" w:hAnsi="微软雅黑" w:eastAsia="微软雅黑" w:cs="微软雅黑"/>
      <w:b/>
      <w:bCs/>
      <w:color w:val="003399"/>
      <w:kern w:val="0"/>
      <w:sz w:val="24"/>
      <w:szCs w:val="18"/>
      <w:u w:color="000000"/>
    </w:rPr>
  </w:style>
  <w:style w:type="paragraph" w:customStyle="1" w:styleId="179">
    <w:name w:val="小标题"/>
    <w:basedOn w:val="1"/>
    <w:qFormat/>
    <w:uiPriority w:val="0"/>
    <w:pPr>
      <w:snapToGrid w:val="0"/>
      <w:spacing w:line="277" w:lineRule="atLeast"/>
      <w:textAlignment w:val="baseline"/>
    </w:pPr>
    <w:rPr>
      <w:b/>
      <w:bCs/>
      <w:szCs w:val="20"/>
    </w:rPr>
  </w:style>
  <w:style w:type="character" w:customStyle="1" w:styleId="180">
    <w:name w:val="标题 2 Char"/>
    <w:link w:val="3"/>
    <w:qFormat/>
    <w:uiPriority w:val="0"/>
    <w:rPr>
      <w:rFonts w:ascii="微软雅黑" w:hAnsi="微软雅黑" w:eastAsia="微软雅黑" w:cs="微软雅黑"/>
      <w:b/>
      <w:color w:val="558ED5" w:themeColor="text2" w:themeTint="99"/>
      <w:kern w:val="0"/>
      <w:sz w:val="28"/>
      <w:szCs w:val="28"/>
      <w:u w:color="000000"/>
      <w14:textFill>
        <w14:solidFill>
          <w14:schemeClr w14:val="tx2">
            <w14:lumMod w14:val="60000"/>
            <w14:lumOff w14:val="40000"/>
          </w14:schemeClr>
        </w14:solidFill>
      </w14:textFill>
    </w:rPr>
  </w:style>
  <w:style w:type="character" w:customStyle="1" w:styleId="181">
    <w:name w:val="批注框文本 Char"/>
    <w:link w:val="11"/>
    <w:semiHidden/>
    <w:qFormat/>
    <w:uiPriority w:val="99"/>
    <w:rPr>
      <w:rFonts w:ascii="微软雅黑" w:hAnsi="微软雅黑" w:eastAsia="微软雅黑" w:cs="微软雅黑"/>
      <w:color w:val="333333"/>
      <w:kern w:val="0"/>
      <w:sz w:val="18"/>
      <w:szCs w:val="18"/>
      <w:u w:color="000000"/>
    </w:rPr>
  </w:style>
  <w:style w:type="character" w:customStyle="1" w:styleId="182">
    <w:name w:val="Heading 4 Char"/>
    <w:basedOn w:val="137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83">
    <w:name w:val="Body Text Char"/>
    <w:basedOn w:val="137"/>
    <w:link w:val="20"/>
    <w:qFormat/>
    <w:uiPriority w:val="99"/>
  </w:style>
  <w:style w:type="character" w:customStyle="1" w:styleId="184">
    <w:name w:val="表格正文 Char"/>
    <w:qFormat/>
    <w:uiPriority w:val="0"/>
    <w:rPr>
      <w:rFonts w:ascii="微软雅黑" w:hAnsi="微软雅黑" w:eastAsia="微软雅黑" w:cs="微软雅黑"/>
      <w:color w:val="333333"/>
      <w:kern w:val="0"/>
      <w:sz w:val="18"/>
      <w:szCs w:val="18"/>
      <w:u w:color="000000"/>
    </w:rPr>
  </w:style>
  <w:style w:type="character" w:customStyle="1" w:styleId="185">
    <w:name w:val="Subtle Emphasis"/>
    <w:basedOn w:val="137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86">
    <w:name w:val="Intense Reference"/>
    <w:basedOn w:val="137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7">
    <w:name w:val="Heading 7 Char"/>
    <w:basedOn w:val="137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8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微软雅黑" w:bidi="ar-SA"/>
    </w:rPr>
  </w:style>
  <w:style w:type="character" w:customStyle="1" w:styleId="189">
    <w:name w:val="Heading 5 Char"/>
    <w:basedOn w:val="13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90">
    <w:name w:val="Heading 9 Char"/>
    <w:basedOn w:val="137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191">
    <w:name w:val="TOC Heading"/>
    <w:basedOn w:val="2"/>
    <w:next w:val="1"/>
    <w:unhideWhenUsed/>
    <w:qFormat/>
    <w:uiPriority w:val="39"/>
    <w:pPr>
      <w:keepNext/>
      <w:keepLines/>
      <w:numPr>
        <w:ilvl w:val="0"/>
        <w:numId w:val="0"/>
      </w:numPr>
      <w:spacing w:before="480" w:line="276" w:lineRule="auto"/>
      <w:outlineLvl w:val="9"/>
    </w:pPr>
    <w:rPr>
      <w:rFonts w:ascii="Cambria" w:hAnsi="Cambria" w:cs="Times New Roman"/>
      <w:bCs/>
      <w:color w:val="365F91"/>
      <w:sz w:val="28"/>
      <w:szCs w:val="28"/>
    </w:rPr>
  </w:style>
  <w:style w:type="character" w:customStyle="1" w:styleId="192">
    <w:name w:val="表格标题 Char"/>
    <w:qFormat/>
    <w:uiPriority w:val="0"/>
    <w:rPr>
      <w:rFonts w:ascii="微软雅黑" w:hAnsi="微软雅黑" w:eastAsia="微软雅黑" w:cs="微软雅黑"/>
      <w:b/>
      <w:color w:val="FFFFFF"/>
      <w:kern w:val="0"/>
      <w:sz w:val="18"/>
      <w:szCs w:val="18"/>
      <w:u w:color="00000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" Type="http://schemas.openxmlformats.org/officeDocument/2006/relationships/styles" Target="styles.xml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1089</Words>
  <Characters>1258</Characters>
  <TotalTime>0</TotalTime>
  <ScaleCrop>false</ScaleCrop>
  <LinksUpToDate>false</LinksUpToDate>
  <CharactersWithSpaces>1474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2026-08-05T14:30:00Z</dcterms:created>
  <dc:creator>Admin</dc:creator>
  <cp:lastModifiedBy>Conan ‍微信超級會員</cp:lastModifiedBy>
  <dcterms:modified xsi:type="dcterms:W3CDTF">2026-08-14T08:31:44Z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eyJoZGlkIjoiNWQxMjhiZDRkOGY5ZWFlMDY2NmRjZDM1YWEzNDE5ZTMiLCJ1c2VySWQiOiIyMzgzODUwMzQifQ==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3684A51BA993492F84E8CE8EE3C0620B_12</vt:lpwstr>
  </property>
</Properties>
</file>