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6"/>
        <w:jc w:val="center"/>
        <w:outlineLvl w:val="9"/>
      </w:pPr>
      <w:r>
        <w:rPr>
          <w:rFonts w:ascii="微软雅黑" w:hAnsi="微软雅黑" w:eastAsia="微软雅黑"/>
          <w:b/>
          <w:color w:val="003399"/>
          <w:sz w:val="44"/>
        </w:rPr>
        <w:t>技能类型与效果系统策划案 V1.0</w:t>
      </w:r>
    </w:p>
    <w:p>
      <w:pPr>
        <w:pStyle w:val="29"/>
        <w:tabs>
          <w:tab w:val="right" w:leader="dot" w:pos="8306"/>
        </w:tabs>
      </w:pPr>
      <w:r>
        <w:fldChar w:fldCharType="begin"/>
      </w:r>
      <w:r>
        <w:instrText xml:space="preserve">TOC \o "1-2" \h \z \u</w:instrText>
      </w:r>
      <w:r>
        <w:fldChar w:fldCharType="separate"/>
      </w:r>
      <w:r>
        <w:fldChar w:fldCharType="begin"/>
      </w:r>
      <w:r>
        <w:instrText xml:space="preserve"> HYPERLINK \l _Toc1 </w:instrText>
      </w:r>
      <w:r>
        <w:fldChar w:fldCharType="separate"/>
      </w:r>
      <w:r>
        <w:t xml:space="preserve">1. 1 文档信息</w:t>
      </w:r>
      <w:r>
        <w:tab/>
      </w:r>
      <w:r>
        <w:fldChar w:fldCharType="begin"/>
      </w:r>
      <w:r>
        <w:instrText xml:space="preserve"> PAGEREF _Toc1 \h </w:instrText>
      </w:r>
      <w:r>
        <w:fldChar w:fldCharType="separate"/>
      </w:r>
      <w:r>
        <w:t xml:space="preserve">1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06"/>
        </w:tabs>
      </w:pPr>
      <w:r>
        <w:fldChar w:fldCharType="begin"/>
      </w:r>
      <w:r>
        <w:instrText xml:space="preserve"> HYPERLINK \l _Toc2 </w:instrText>
      </w:r>
      <w:r>
        <w:fldChar w:fldCharType="separate"/>
      </w:r>
      <w:r>
        <w:t xml:space="preserve">1.1. 1.1 修改记录</w:t>
      </w:r>
      <w:r>
        <w:tab/>
      </w:r>
      <w:r>
        <w:fldChar w:fldCharType="begin"/>
      </w:r>
      <w:r>
        <w:instrText xml:space="preserve"> PAGEREF _Toc2 \h </w:instrText>
      </w:r>
      <w:r>
        <w:fldChar w:fldCharType="separate"/>
      </w:r>
      <w:r>
        <w:t xml:space="preserve">1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8306"/>
        </w:tabs>
      </w:pPr>
      <w:r>
        <w:fldChar w:fldCharType="begin"/>
      </w:r>
      <w:r>
        <w:instrText xml:space="preserve"> HYPERLINK \l _Toc3 </w:instrText>
      </w:r>
      <w:r>
        <w:fldChar w:fldCharType="separate"/>
      </w:r>
      <w:r>
        <w:t xml:space="preserve">2. 2 设计目的</w:t>
      </w:r>
      <w:r>
        <w:tab/>
      </w:r>
      <w:r>
        <w:fldChar w:fldCharType="begin"/>
      </w:r>
      <w:r>
        <w:instrText xml:space="preserve"> PAGEREF _Toc3 \h </w:instrText>
      </w:r>
      <w:r>
        <w:fldChar w:fldCharType="separate"/>
      </w:r>
      <w:r>
        <w:t xml:space="preserve">1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8306"/>
        </w:tabs>
      </w:pPr>
      <w:r>
        <w:fldChar w:fldCharType="begin"/>
      </w:r>
      <w:r>
        <w:instrText xml:space="preserve"> HYPERLINK \l _Toc4 </w:instrText>
      </w:r>
      <w:r>
        <w:fldChar w:fldCharType="separate"/>
      </w:r>
      <w:r>
        <w:t xml:space="preserve">3. 3 范围与非范围</w:t>
      </w:r>
      <w:r>
        <w:tab/>
      </w:r>
      <w:r>
        <w:fldChar w:fldCharType="begin"/>
      </w:r>
      <w:r>
        <w:instrText xml:space="preserve"> PAGEREF _Toc4 \h </w:instrText>
      </w:r>
      <w:r>
        <w:fldChar w:fldCharType="separate"/>
      </w:r>
      <w:r>
        <w:t xml:space="preserve">1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06"/>
        </w:tabs>
      </w:pPr>
      <w:r>
        <w:fldChar w:fldCharType="begin"/>
      </w:r>
      <w:r>
        <w:instrText xml:space="preserve"> HYPERLINK \l _Toc5 </w:instrText>
      </w:r>
      <w:r>
        <w:fldChar w:fldCharType="separate"/>
      </w:r>
      <w:r>
        <w:t xml:space="preserve">3.1. 3.1 本期范围</w:t>
      </w:r>
      <w:r>
        <w:tab/>
      </w:r>
      <w:r>
        <w:fldChar w:fldCharType="begin"/>
      </w:r>
      <w:r>
        <w:instrText xml:space="preserve"> PAGEREF _Toc5 \h </w:instrText>
      </w:r>
      <w:r>
        <w:fldChar w:fldCharType="separate"/>
      </w:r>
      <w:r>
        <w:t xml:space="preserve">1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06"/>
        </w:tabs>
      </w:pPr>
      <w:r>
        <w:fldChar w:fldCharType="begin"/>
      </w:r>
      <w:r>
        <w:instrText xml:space="preserve"> HYPERLINK \l _Toc6 </w:instrText>
      </w:r>
      <w:r>
        <w:fldChar w:fldCharType="separate"/>
      </w:r>
      <w:r>
        <w:t xml:space="preserve">3.2. 3.2 本期非范围</w:t>
      </w:r>
      <w:r>
        <w:tab/>
      </w:r>
      <w:r>
        <w:fldChar w:fldCharType="begin"/>
      </w:r>
      <w:r>
        <w:instrText xml:space="preserve"> PAGEREF _Toc6 \h </w:instrText>
      </w:r>
      <w:r>
        <w:fldChar w:fldCharType="separate"/>
      </w:r>
      <w:r>
        <w:t xml:space="preserve">1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8306"/>
        </w:tabs>
      </w:pPr>
      <w:r>
        <w:fldChar w:fldCharType="begin"/>
      </w:r>
      <w:r>
        <w:instrText xml:space="preserve"> HYPERLINK \l _Toc7 </w:instrText>
      </w:r>
      <w:r>
        <w:fldChar w:fldCharType="separate"/>
      </w:r>
      <w:r>
        <w:t xml:space="preserve">4. 4 现状与参考审查</w:t>
      </w:r>
      <w:r>
        <w:tab/>
      </w:r>
      <w:r>
        <w:fldChar w:fldCharType="begin"/>
      </w:r>
      <w:r>
        <w:instrText xml:space="preserve"> PAGEREF _Toc7 \h </w:instrText>
      </w:r>
      <w:r>
        <w:fldChar w:fldCharType="separate"/>
      </w:r>
      <w:r>
        <w:t xml:space="preserve">1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06"/>
        </w:tabs>
      </w:pPr>
      <w:r>
        <w:fldChar w:fldCharType="begin"/>
      </w:r>
      <w:r>
        <w:instrText xml:space="preserve"> HYPERLINK \l _Toc8 </w:instrText>
      </w:r>
      <w:r>
        <w:fldChar w:fldCharType="separate"/>
      </w:r>
      <w:r>
        <w:t xml:space="preserve">4.1. 4.1 当前项目基础</w:t>
      </w:r>
      <w:r>
        <w:tab/>
      </w:r>
      <w:r>
        <w:fldChar w:fldCharType="begin"/>
      </w:r>
      <w:r>
        <w:instrText xml:space="preserve"> PAGEREF _Toc8 \h </w:instrText>
      </w:r>
      <w:r>
        <w:fldChar w:fldCharType="separate"/>
      </w:r>
      <w:r>
        <w:t xml:space="preserve">1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06"/>
        </w:tabs>
      </w:pPr>
      <w:r>
        <w:fldChar w:fldCharType="begin"/>
      </w:r>
      <w:r>
        <w:instrText xml:space="preserve"> HYPERLINK \l _Toc9 </w:instrText>
      </w:r>
      <w:r>
        <w:fldChar w:fldCharType="separate"/>
      </w:r>
      <w:r>
        <w:t xml:space="preserve">4.2. 4.2 旧项目 Excel 的有效信息</w:t>
      </w:r>
      <w:r>
        <w:tab/>
      </w:r>
      <w:r>
        <w:fldChar w:fldCharType="begin"/>
      </w:r>
      <w:r>
        <w:instrText xml:space="preserve"> PAGEREF _Toc9 \h </w:instrText>
      </w:r>
      <w:r>
        <w:fldChar w:fldCharType="separate"/>
      </w:r>
      <w:r>
        <w:t xml:space="preserve">1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06"/>
        </w:tabs>
      </w:pPr>
      <w:r>
        <w:fldChar w:fldCharType="begin"/>
      </w:r>
      <w:r>
        <w:instrText xml:space="preserve"> HYPERLINK \l _Toc10 </w:instrText>
      </w:r>
      <w:r>
        <w:fldChar w:fldCharType="separate"/>
      </w:r>
      <w:r>
        <w:t xml:space="preserve">4.3. 4.3 Tower 参考工程</w:t>
      </w:r>
      <w:r>
        <w:tab/>
      </w:r>
      <w:r>
        <w:fldChar w:fldCharType="begin"/>
      </w:r>
      <w:r>
        <w:instrText xml:space="preserve"> PAGEREF _Toc10 \h </w:instrText>
      </w:r>
      <w:r>
        <w:fldChar w:fldCharType="separate"/>
      </w:r>
      <w:r>
        <w:t xml:space="preserve">1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8306"/>
        </w:tabs>
      </w:pPr>
      <w:r>
        <w:fldChar w:fldCharType="begin"/>
      </w:r>
      <w:r>
        <w:instrText xml:space="preserve"> HYPERLINK \l _Toc11 </w:instrText>
      </w:r>
      <w:r>
        <w:fldChar w:fldCharType="separate"/>
      </w:r>
      <w:r>
        <w:t xml:space="preserve">5. 5 核心设计</w:t>
      </w:r>
      <w:r>
        <w:tab/>
      </w:r>
      <w:r>
        <w:fldChar w:fldCharType="begin"/>
      </w:r>
      <w:r>
        <w:instrText xml:space="preserve"> PAGEREF _Toc11 \h </w:instrText>
      </w:r>
      <w:r>
        <w:fldChar w:fldCharType="separate"/>
      </w:r>
      <w:r>
        <w:t xml:space="preserve">1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06"/>
        </w:tabs>
      </w:pPr>
      <w:r>
        <w:fldChar w:fldCharType="begin"/>
      </w:r>
      <w:r>
        <w:instrText xml:space="preserve"> HYPERLINK \l _Toc12 </w:instrText>
      </w:r>
      <w:r>
        <w:fldChar w:fldCharType="separate"/>
      </w:r>
      <w:r>
        <w:t xml:space="preserve">5.1. 5.1 组合模型</w:t>
      </w:r>
      <w:r>
        <w:tab/>
      </w:r>
      <w:r>
        <w:fldChar w:fldCharType="begin"/>
      </w:r>
      <w:r>
        <w:instrText xml:space="preserve"> PAGEREF _Toc12 \h </w:instrText>
      </w:r>
      <w:r>
        <w:fldChar w:fldCharType="separate"/>
      </w:r>
      <w:r>
        <w:t xml:space="preserve">1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06"/>
        </w:tabs>
      </w:pPr>
      <w:r>
        <w:fldChar w:fldCharType="begin"/>
      </w:r>
      <w:r>
        <w:instrText xml:space="preserve"> HYPERLINK \l _Toc13 </w:instrText>
      </w:r>
      <w:r>
        <w:fldChar w:fldCharType="separate"/>
      </w:r>
      <w:r>
        <w:t xml:space="preserve">5.2. 5.2 职责边界</w:t>
      </w:r>
      <w:r>
        <w:tab/>
      </w:r>
      <w:r>
        <w:fldChar w:fldCharType="begin"/>
      </w:r>
      <w:r>
        <w:instrText xml:space="preserve"> PAGEREF _Toc13 \h </w:instrText>
      </w:r>
      <w:r>
        <w:fldChar w:fldCharType="separate"/>
      </w:r>
      <w:r>
        <w:t xml:space="preserve">1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8306"/>
        </w:tabs>
      </w:pPr>
      <w:r>
        <w:fldChar w:fldCharType="begin"/>
      </w:r>
      <w:r>
        <w:instrText xml:space="preserve"> HYPERLINK \l _Toc14 </w:instrText>
      </w:r>
      <w:r>
        <w:fldChar w:fldCharType="separate"/>
      </w:r>
      <w:r>
        <w:t xml:space="preserve">6. 6 Luban 表结构方案</w:t>
      </w:r>
      <w:r>
        <w:tab/>
      </w:r>
      <w:r>
        <w:fldChar w:fldCharType="begin"/>
      </w:r>
      <w:r>
        <w:instrText xml:space="preserve"> PAGEREF _Toc14 \h </w:instrText>
      </w:r>
      <w:r>
        <w:fldChar w:fldCharType="separate"/>
      </w:r>
      <w:r>
        <w:t xml:space="preserve">1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06"/>
        </w:tabs>
      </w:pPr>
      <w:r>
        <w:fldChar w:fldCharType="begin"/>
      </w:r>
      <w:r>
        <w:instrText xml:space="preserve"> HYPERLINK \l _Toc15 </w:instrText>
      </w:r>
      <w:r>
        <w:fldChar w:fldCharType="separate"/>
      </w:r>
      <w:r>
        <w:t xml:space="preserve">6.1. 6.1 保留并调整的表</w:t>
      </w:r>
      <w:r>
        <w:tab/>
      </w:r>
      <w:r>
        <w:fldChar w:fldCharType="begin"/>
      </w:r>
      <w:r>
        <w:instrText xml:space="preserve"> PAGEREF _Toc15 \h </w:instrText>
      </w:r>
      <w:r>
        <w:fldChar w:fldCharType="separate"/>
      </w:r>
      <w:r>
        <w:t xml:space="preserve">1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06"/>
        </w:tabs>
      </w:pPr>
      <w:r>
        <w:fldChar w:fldCharType="begin"/>
      </w:r>
      <w:r>
        <w:instrText xml:space="preserve"> HYPERLINK \l _Toc16 </w:instrText>
      </w:r>
      <w:r>
        <w:fldChar w:fldCharType="separate"/>
      </w:r>
      <w:r>
        <w:t xml:space="preserve">6.2. 6.2 新增表与 Bean</w:t>
      </w:r>
      <w:r>
        <w:tab/>
      </w:r>
      <w:r>
        <w:fldChar w:fldCharType="begin"/>
      </w:r>
      <w:r>
        <w:instrText xml:space="preserve"> PAGEREF _Toc16 \h </w:instrText>
      </w:r>
      <w:r>
        <w:fldChar w:fldCharType="separate"/>
      </w:r>
      <w:r>
        <w:t xml:space="preserve">1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06"/>
        </w:tabs>
      </w:pPr>
      <w:r>
        <w:fldChar w:fldCharType="begin"/>
      </w:r>
      <w:r>
        <w:instrText xml:space="preserve"> HYPERLINK \l _Toc17 </w:instrText>
      </w:r>
      <w:r>
        <w:fldChar w:fldCharType="separate"/>
      </w:r>
      <w:r>
        <w:t xml:space="preserve">6.3. 6.3 效果变体</w:t>
      </w:r>
      <w:r>
        <w:tab/>
      </w:r>
      <w:r>
        <w:fldChar w:fldCharType="begin"/>
      </w:r>
      <w:r>
        <w:instrText xml:space="preserve"> PAGEREF _Toc17 \h </w:instrText>
      </w:r>
      <w:r>
        <w:fldChar w:fldCharType="separate"/>
      </w:r>
      <w:r>
        <w:t xml:space="preserve">1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8306"/>
        </w:tabs>
      </w:pPr>
      <w:r>
        <w:fldChar w:fldCharType="begin"/>
      </w:r>
      <w:r>
        <w:instrText xml:space="preserve"> HYPERLINK \l _Toc18 </w:instrText>
      </w:r>
      <w:r>
        <w:fldChar w:fldCharType="separate"/>
      </w:r>
      <w:r>
        <w:t xml:space="preserve">7. 7 运行时架构</w:t>
      </w:r>
      <w:r>
        <w:tab/>
      </w:r>
      <w:r>
        <w:fldChar w:fldCharType="begin"/>
      </w:r>
      <w:r>
        <w:instrText xml:space="preserve"> PAGEREF _Toc18 \h </w:instrText>
      </w:r>
      <w:r>
        <w:fldChar w:fldCharType="separate"/>
      </w:r>
      <w:r>
        <w:t xml:space="preserve">1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06"/>
        </w:tabs>
      </w:pPr>
      <w:r>
        <w:fldChar w:fldCharType="begin"/>
      </w:r>
      <w:r>
        <w:instrText xml:space="preserve"> HYPERLINK \l _Toc19 </w:instrText>
      </w:r>
      <w:r>
        <w:fldChar w:fldCharType="separate"/>
      </w:r>
      <w:r>
        <w:t xml:space="preserve">7.1. 7.1 入局编译</w:t>
      </w:r>
      <w:r>
        <w:tab/>
      </w:r>
      <w:r>
        <w:fldChar w:fldCharType="begin"/>
      </w:r>
      <w:r>
        <w:instrText xml:space="preserve"> PAGEREF _Toc19 \h </w:instrText>
      </w:r>
      <w:r>
        <w:fldChar w:fldCharType="separate"/>
      </w:r>
      <w:r>
        <w:t xml:space="preserve">1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06"/>
        </w:tabs>
      </w:pPr>
      <w:r>
        <w:fldChar w:fldCharType="begin"/>
      </w:r>
      <w:r>
        <w:instrText xml:space="preserve"> HYPERLINK \l _Toc20 </w:instrText>
      </w:r>
      <w:r>
        <w:fldChar w:fldCharType="separate"/>
      </w:r>
      <w:r>
        <w:t xml:space="preserve">7.2. 7.2 固定 Tick 流程</w:t>
      </w:r>
      <w:r>
        <w:tab/>
      </w:r>
      <w:r>
        <w:fldChar w:fldCharType="begin"/>
      </w:r>
      <w:r>
        <w:instrText xml:space="preserve"> PAGEREF _Toc20 \h </w:instrText>
      </w:r>
      <w:r>
        <w:fldChar w:fldCharType="separate"/>
      </w:r>
      <w:r>
        <w:t xml:space="preserve">1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06"/>
        </w:tabs>
      </w:pPr>
      <w:r>
        <w:fldChar w:fldCharType="begin"/>
      </w:r>
      <w:r>
        <w:instrText xml:space="preserve"> HYPERLINK \l _Toc21 </w:instrText>
      </w:r>
      <w:r>
        <w:fldChar w:fldCharType="separate"/>
      </w:r>
      <w:r>
        <w:t xml:space="preserve">7.3. 7.3 组件与缓冲区</w:t>
      </w:r>
      <w:r>
        <w:tab/>
      </w:r>
      <w:r>
        <w:fldChar w:fldCharType="begin"/>
      </w:r>
      <w:r>
        <w:instrText xml:space="preserve"> PAGEREF _Toc21 \h </w:instrText>
      </w:r>
      <w:r>
        <w:fldChar w:fldCharType="separate"/>
      </w:r>
      <w:r>
        <w:t xml:space="preserve">1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06"/>
        </w:tabs>
      </w:pPr>
      <w:r>
        <w:fldChar w:fldCharType="begin"/>
      </w:r>
      <w:r>
        <w:instrText xml:space="preserve"> HYPERLINK \l _Toc22 </w:instrText>
      </w:r>
      <w:r>
        <w:fldChar w:fldCharType="separate"/>
      </w:r>
      <w:r>
        <w:t xml:space="preserve">7.4. 7.4 异常与清场</w:t>
      </w:r>
      <w:r>
        <w:tab/>
      </w:r>
      <w:r>
        <w:fldChar w:fldCharType="begin"/>
      </w:r>
      <w:r>
        <w:instrText xml:space="preserve"> PAGEREF _Toc22 \h </w:instrText>
      </w:r>
      <w:r>
        <w:fldChar w:fldCharType="separate"/>
      </w:r>
      <w:r>
        <w:t xml:space="preserve">1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8306"/>
        </w:tabs>
      </w:pPr>
      <w:r>
        <w:fldChar w:fldCharType="begin"/>
      </w:r>
      <w:r>
        <w:instrText xml:space="preserve"> HYPERLINK \l _Toc23 </w:instrText>
      </w:r>
      <w:r>
        <w:fldChar w:fldCharType="separate"/>
      </w:r>
      <w:r>
        <w:t xml:space="preserve">8. 8 兼容与迁移</w:t>
      </w:r>
      <w:r>
        <w:tab/>
      </w:r>
      <w:r>
        <w:fldChar w:fldCharType="begin"/>
      </w:r>
      <w:r>
        <w:instrText xml:space="preserve"> PAGEREF _Toc23 \h </w:instrText>
      </w:r>
      <w:r>
        <w:fldChar w:fldCharType="separate"/>
      </w:r>
      <w:r>
        <w:t xml:space="preserve">1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06"/>
        </w:tabs>
      </w:pPr>
      <w:r>
        <w:fldChar w:fldCharType="begin"/>
      </w:r>
      <w:r>
        <w:instrText xml:space="preserve"> HYPERLINK \l _Toc24 </w:instrText>
      </w:r>
      <w:r>
        <w:fldChar w:fldCharType="separate"/>
      </w:r>
      <w:r>
        <w:t xml:space="preserve">8.1. 8.1 分阶段实施</w:t>
      </w:r>
      <w:r>
        <w:tab/>
      </w:r>
      <w:r>
        <w:fldChar w:fldCharType="begin"/>
      </w:r>
      <w:r>
        <w:instrText xml:space="preserve"> PAGEREF _Toc24 \h </w:instrText>
      </w:r>
      <w:r>
        <w:fldChar w:fldCharType="separate"/>
      </w:r>
      <w:r>
        <w:t xml:space="preserve">1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06"/>
        </w:tabs>
      </w:pPr>
      <w:r>
        <w:fldChar w:fldCharType="begin"/>
      </w:r>
      <w:r>
        <w:instrText xml:space="preserve"> HYPERLINK \l _Toc25 </w:instrText>
      </w:r>
      <w:r>
        <w:fldChar w:fldCharType="separate"/>
      </w:r>
      <w:r>
        <w:t xml:space="preserve">8.2. 8.2 旧数据迁移原则</w:t>
      </w:r>
      <w:r>
        <w:tab/>
      </w:r>
      <w:r>
        <w:fldChar w:fldCharType="begin"/>
      </w:r>
      <w:r>
        <w:instrText xml:space="preserve"> PAGEREF _Toc25 \h </w:instrText>
      </w:r>
      <w:r>
        <w:fldChar w:fldCharType="separate"/>
      </w:r>
      <w:r>
        <w:t xml:space="preserve">1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8306"/>
        </w:tabs>
      </w:pPr>
      <w:r>
        <w:fldChar w:fldCharType="begin"/>
      </w:r>
      <w:r>
        <w:instrText xml:space="preserve"> HYPERLINK \l _Toc26 </w:instrText>
      </w:r>
      <w:r>
        <w:fldChar w:fldCharType="separate"/>
      </w:r>
      <w:r>
        <w:t xml:space="preserve">9. 9 校验与验收标准</w:t>
      </w:r>
      <w:r>
        <w:tab/>
      </w:r>
      <w:r>
        <w:fldChar w:fldCharType="begin"/>
      </w:r>
      <w:r>
        <w:instrText xml:space="preserve"> PAGEREF _Toc26 \h </w:instrText>
      </w:r>
      <w:r>
        <w:fldChar w:fldCharType="separate"/>
      </w:r>
      <w:r>
        <w:t xml:space="preserve">1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06"/>
        </w:tabs>
      </w:pPr>
      <w:r>
        <w:fldChar w:fldCharType="begin"/>
      </w:r>
      <w:r>
        <w:instrText xml:space="preserve"> HYPERLINK \l _Toc27 </w:instrText>
      </w:r>
      <w:r>
        <w:fldChar w:fldCharType="separate"/>
      </w:r>
      <w:r>
        <w:t xml:space="preserve">9.1. 9.1 静态门禁</w:t>
      </w:r>
      <w:r>
        <w:tab/>
      </w:r>
      <w:r>
        <w:fldChar w:fldCharType="begin"/>
      </w:r>
      <w:r>
        <w:instrText xml:space="preserve"> PAGEREF _Toc27 \h </w:instrText>
      </w:r>
      <w:r>
        <w:fldChar w:fldCharType="separate"/>
      </w:r>
      <w:r>
        <w:t xml:space="preserve">1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06"/>
        </w:tabs>
      </w:pPr>
      <w:r>
        <w:fldChar w:fldCharType="begin"/>
      </w:r>
      <w:r>
        <w:instrText xml:space="preserve"> HYPERLINK \l _Toc28 </w:instrText>
      </w:r>
      <w:r>
        <w:fldChar w:fldCharType="separate"/>
      </w:r>
      <w:r>
        <w:t xml:space="preserve">9.2. 9.2 自动化验收</w:t>
      </w:r>
      <w:r>
        <w:tab/>
      </w:r>
      <w:r>
        <w:fldChar w:fldCharType="begin"/>
      </w:r>
      <w:r>
        <w:instrText xml:space="preserve"> PAGEREF _Toc28 \h </w:instrText>
      </w:r>
      <w:r>
        <w:fldChar w:fldCharType="separate"/>
      </w:r>
      <w:r>
        <w:t xml:space="preserve">1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06"/>
        </w:tabs>
      </w:pPr>
      <w:r>
        <w:fldChar w:fldCharType="begin"/>
      </w:r>
      <w:r>
        <w:instrText xml:space="preserve"> HYPERLINK \l _Toc29 </w:instrText>
      </w:r>
      <w:r>
        <w:fldChar w:fldCharType="separate"/>
      </w:r>
      <w:r>
        <w:t xml:space="preserve">9.3. 9.3 Unity 与人工验收</w:t>
      </w:r>
      <w:r>
        <w:tab/>
      </w:r>
      <w:r>
        <w:fldChar w:fldCharType="begin"/>
      </w:r>
      <w:r>
        <w:instrText xml:space="preserve"> PAGEREF _Toc29 \h </w:instrText>
      </w:r>
      <w:r>
        <w:fldChar w:fldCharType="separate"/>
      </w:r>
      <w:r>
        <w:t xml:space="preserve">1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8306"/>
        </w:tabs>
      </w:pPr>
      <w:r>
        <w:fldChar w:fldCharType="begin"/>
      </w:r>
      <w:r>
        <w:instrText xml:space="preserve"> HYPERLINK \l _Toc30 </w:instrText>
      </w:r>
      <w:r>
        <w:fldChar w:fldCharType="separate"/>
      </w:r>
      <w:r>
        <w:t xml:space="preserve">10. 10 风险与控制</w:t>
      </w:r>
      <w:r>
        <w:tab/>
      </w:r>
      <w:r>
        <w:fldChar w:fldCharType="begin"/>
      </w:r>
      <w:r>
        <w:instrText xml:space="preserve"> PAGEREF _Toc30 \h </w:instrText>
      </w:r>
      <w:r>
        <w:fldChar w:fldCharType="separate"/>
      </w:r>
      <w:r>
        <w:t xml:space="preserve">1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8306"/>
        </w:tabs>
      </w:pPr>
      <w:r>
        <w:fldChar w:fldCharType="begin"/>
      </w:r>
      <w:r>
        <w:instrText xml:space="preserve"> HYPERLINK \l _Toc31 </w:instrText>
      </w:r>
      <w:r>
        <w:fldChar w:fldCharType="separate"/>
      </w:r>
      <w:r>
        <w:t xml:space="preserve">11. 11 决策建议</w:t>
      </w:r>
      <w:r>
        <w:tab/>
      </w:r>
      <w:r>
        <w:fldChar w:fldCharType="begin"/>
      </w:r>
      <w:r>
        <w:instrText xml:space="preserve"> PAGEREF _Toc31 \h </w:instrText>
      </w:r>
      <w:r>
        <w:fldChar w:fldCharType="separate"/>
      </w:r>
      <w:r>
        <w:t xml:space="preserve">1</w:t>
      </w:r>
      <w:r>
        <w:fldChar w:fldCharType="end"/>
      </w:r>
      <w:r>
        <w:fldChar w:fldCharType="end"/>
      </w:r>
    </w:p>
    <w:p>
      <w:pPr>
        <w:tabs>
          <w:tab w:val="right" w:leader="dot" w:pos="8305"/>
        </w:tabs>
      </w:pPr>
      <w:r>
        <w:fldChar w:fldCharType="end"/>
      </w:r>
    </w:p>
    <w:p>
      <w:pPr/>
      <w:r>
        <w:rPr>
          <w:rFonts w:ascii="微软雅黑" w:hAnsi="微软雅黑" w:eastAsia="微软雅黑"/>
          <w:b w:val="0"/>
          <w:color w:val="333333"/>
          <w:sz w:val="18"/>
        </w:rPr>
        <w:t>本文档定义肉鸽项目技能类型、投递器、弹体、效果、触发器、状态与召唤物的配置边界和运行时职责。结论是：保留现有 `TbSkill + TbSkillCombat` 和已上线的 Projectile、Melee、TargetArea 能力，通过可组合模块扩展旧项目覆盖的 11 类技能与 35 类 Buff；不复制旧表的 `参数0～参数6` 结构，也不把技能外观、弹道、命中效果和 Buff 规则揉成一个大枚举。</w:t>
      </w:r>
    </w:p>
    <w:p>
      <w:pPr/>
      <w:r>
        <w:rPr>
          <w:rFonts w:ascii="微软雅黑" w:hAnsi="微软雅黑" w:eastAsia="微软雅黑"/>
          <w:b w:val="0"/>
          <w:color w:val="333333"/>
          <w:sz w:val="18"/>
        </w:rPr>
        <w:t>本版只完成方案设计，不修改技能配置表和正式运行逻辑，不启动 Unity，不填入未经确认的伤害、概率、数量、距离或持续时间。方案确认后，严格按“表结构与数据 → Luban 生成 → 代码实现 → 自动化与人工验收”推进。</w:t>
      </w:r>
    </w:p>
    <w:p>
      <w:bookmarkStart w:id="1" w:name="_Toc1"/>
      <w:pPr>
        <w:pStyle w:val="3"/>
        <w:numPr>
          <w:ilvl w:val="0"/>
          <w:numId w:val="7"/>
        </w:numPr>
        <w:tabs>
          <w:tab w:val="clear" w:pos="720"/>
        </w:tabs>
        <w:bidi w:val="0"/>
        <w:ind w:left="425" w:hanging="425" w:leftChars="0" w:firstLineChars="0"/>
        <w:pageBreakBefore w:val="true"/>
      </w:pPr>
      <w:r>
        <w:t>1 文档信息</w:t>
      </w:r>
      <w:bookmarkEnd w:id="1"/>
    </w:p>
    <w:tbl>
      <w:tblPr>
        <w:tblStyle w:val="37"/>
        <w:tblW w:type="dxa" w:w="8305"/>
        <w:tblLook w:firstColumn="1" w:firstRow="1" w:lastColumn="0" w:lastRow="0" w:noHBand="0" w:noVBand="1" w:val="04A0"/>
        <w:tblBorders>
          <w:top w:val="single" w:sz="4" w:space="0" w:color="AFCBD0"/>
          <w:left w:val="single" w:sz="4" w:space="0" w:color="AFCBD0"/>
          <w:bottom w:val="single" w:sz="4" w:space="0" w:color="AFCBD0"/>
          <w:right w:val="single" w:sz="4" w:space="0" w:color="AFCBD0"/>
          <w:insideH w:val="single" w:sz="4" w:space="0" w:color="AFCBD0"/>
          <w:insideV w:val="single" w:sz="4" w:space="0" w:color="AFCBD0"/>
        </w:tblBorders>
        <w:tblLayout w:type="autofit"/>
        <w:jc w:val="center"/>
      </w:tblPr>
      <w:tblGrid>
        <w:gridCol w:w="1154"/>
        <w:gridCol w:w="7151"/>
      </w:tblGrid>
      <w:tr>
        <w:trPr>
          <w:tblHeader w:val="true"/>
          <w:trHeight w:val="0" w:hRule="atLeast"/>
        </w:trPr>
        <w:tc>
          <w:tcPr>
            <w:tcW w:type="dxa" w:w="115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95B4D8"/>
          </w:tcPr>
          <w:p>
            <w:pPr>
              <w:pStyle w:val="16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15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95B4D8"/>
          </w:tcPr>
          <w:p>
            <w:pPr>
              <w:pStyle w:val="16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rPr>
          <w:trHeight w:val="0" w:hRule="atLeast"/>
        </w:trPr>
        <w:tc>
          <w:tcPr>
            <w:tcW w:type="dxa" w:w="115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文档版本</w:t>
            </w:r>
          </w:p>
        </w:tc>
        <w:tc>
          <w:tcPr>
            <w:tcW w:type="dxa" w:w="715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V1.0</w:t>
            </w:r>
          </w:p>
        </w:tc>
      </w:tr>
      <w:tr>
        <w:trPr>
          <w:trHeight w:val="0" w:hRule="atLeast"/>
        </w:trPr>
        <w:tc>
          <w:tcPr>
            <w:tcW w:type="dxa" w:w="115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日期</w:t>
            </w:r>
          </w:p>
        </w:tc>
        <w:tc>
          <w:tcPr>
            <w:tcW w:type="dxa" w:w="715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2026-09-12</w:t>
            </w:r>
          </w:p>
        </w:tc>
      </w:tr>
      <w:tr>
        <w:trPr>
          <w:trHeight w:val="0" w:hRule="atLeast"/>
        </w:trPr>
        <w:tc>
          <w:tcPr>
            <w:tcW w:type="dxa" w:w="115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适用项目</w:t>
            </w:r>
          </w:p>
        </w:tc>
        <w:tc>
          <w:tcPr>
            <w:tcW w:type="dxa" w:w="715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Roguelike 单机 Steam 项目</w:t>
            </w:r>
          </w:p>
        </w:tc>
      </w:tr>
      <w:tr>
        <w:trPr>
          <w:trHeight w:val="0" w:hRule="atLeast"/>
        </w:trPr>
        <w:tc>
          <w:tcPr>
            <w:tcW w:type="dxa" w:w="115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目标读者</w:t>
            </w:r>
          </w:p>
        </w:tc>
        <w:tc>
          <w:tcPr>
            <w:tcW w:type="dxa" w:w="715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制作人、战斗策划、客户端程序、测试</w:t>
            </w:r>
          </w:p>
        </w:tc>
      </w:tr>
      <w:tr>
        <w:trPr>
          <w:trHeight w:val="0" w:hRule="atLeast"/>
        </w:trPr>
        <w:tc>
          <w:tcPr>
            <w:tcW w:type="dxa" w:w="115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当前阶段</w:t>
            </w:r>
          </w:p>
        </w:tc>
        <w:tc>
          <w:tcPr>
            <w:tcW w:type="dxa" w:w="715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实现方案待确认</w:t>
            </w:r>
          </w:p>
        </w:tc>
      </w:tr>
      <w:tr>
        <w:trPr>
          <w:trHeight w:val="0" w:hRule="atLeast"/>
        </w:trPr>
        <w:tc>
          <w:tcPr>
            <w:tcW w:type="dxa" w:w="115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参考资料</w:t>
            </w:r>
          </w:p>
        </w:tc>
        <w:tc>
          <w:tcPr>
            <w:tcW w:type="dxa" w:w="715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旧项目《技能类型参数.xlsx》、当前项目 Luban 表与战斗 ECS 实现</w:t>
            </w:r>
          </w:p>
        </w:tc>
      </w:tr>
    </w:tbl>
    <w:p>
      <w:bookmarkStart w:id="2" w:name="_Toc2"/>
      <w:pPr>
        <w:pStyle w:val="4"/>
        <w:numPr>
          <w:ilvl w:val="1"/>
          <w:numId w:val="7"/>
        </w:numPr>
        <w:bidi w:val="0"/>
        <w:spacing w:after="156"/>
        <w:ind w:left="605" w:hanging="425" w:leftChars="0" w:firstLineChars="0"/>
        <w:outlineLvl w:val="1"/>
      </w:pPr>
      <w:r>
        <w:t>1.1 修改记录</w:t>
      </w:r>
      <w:bookmarkEnd w:id="2"/>
    </w:p>
    <w:tbl>
      <w:tblPr>
        <w:tblStyle w:val="37"/>
        <w:tblW w:type="dxa" w:w="8305"/>
        <w:tblLook w:firstColumn="1" w:firstRow="1" w:lastColumn="0" w:lastRow="0" w:noHBand="0" w:noVBand="1" w:val="04A0"/>
        <w:tblBorders>
          <w:top w:val="single" w:sz="4" w:space="0" w:color="AFCBD0"/>
          <w:left w:val="single" w:sz="4" w:space="0" w:color="AFCBD0"/>
          <w:bottom w:val="single" w:sz="4" w:space="0" w:color="AFCBD0"/>
          <w:right w:val="single" w:sz="4" w:space="0" w:color="AFCBD0"/>
          <w:insideH w:val="single" w:sz="4" w:space="0" w:color="AFCBD0"/>
          <w:insideV w:val="single" w:sz="4" w:space="0" w:color="AFCBD0"/>
        </w:tblBorders>
        <w:tblLayout w:type="autofit"/>
        <w:jc w:val="center"/>
      </w:tblPr>
      <w:tblGrid>
        <w:gridCol w:w="1290"/>
        <w:gridCol w:w="3120"/>
        <w:gridCol w:w="850"/>
        <w:gridCol w:w="1190"/>
        <w:gridCol w:w="1855"/>
      </w:tblGrid>
      <w:tr>
        <w:trPr>
          <w:tblHeader w:val="true"/>
          <w:trHeight w:val="0" w:hRule="atLeast"/>
        </w:trPr>
        <w:tc>
          <w:tcPr>
            <w:tcW w:type="dxa" w:w="129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95B4D8"/>
          </w:tcPr>
          <w:p>
            <w:pPr>
              <w:pStyle w:val="16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更改时间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95B4D8"/>
          </w:tcPr>
          <w:p>
            <w:pPr>
              <w:pStyle w:val="16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修改内容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95B4D8"/>
          </w:tcPr>
          <w:p>
            <w:pPr>
              <w:pStyle w:val="16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旧内容</w:t>
            </w:r>
          </w:p>
        </w:tc>
        <w:tc>
          <w:tcPr>
            <w:tcW w:type="dxa" w:w="119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95B4D8"/>
          </w:tcPr>
          <w:p>
            <w:pPr>
              <w:pStyle w:val="16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文档负责人</w:t>
            </w:r>
          </w:p>
        </w:tc>
        <w:tc>
          <w:tcPr>
            <w:tcW w:type="dxa" w:w="185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95B4D8"/>
          </w:tcPr>
          <w:p>
            <w:pPr>
              <w:pStyle w:val="16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修改原因</w:t>
            </w:r>
          </w:p>
        </w:tc>
      </w:tr>
      <w:tr>
        <w:trPr>
          <w:trHeight w:val="0" w:hRule="atLeast"/>
        </w:trPr>
        <w:tc>
          <w:tcPr>
            <w:tcW w:type="dxa" w:w="129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2026-09-12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建立技能类型与效果系统 V1.0 方案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无</w:t>
            </w:r>
          </w:p>
        </w:tc>
        <w:tc>
          <w:tcPr>
            <w:tcW w:type="dxa" w:w="119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项目组</w:t>
            </w:r>
          </w:p>
        </w:tc>
        <w:tc>
          <w:tcPr>
            <w:tcW w:type="dxa" w:w="185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在不占用 Unity 的阶段完成正式模块设计</w:t>
            </w:r>
          </w:p>
        </w:tc>
      </w:tr>
    </w:tbl>
    <w:p>
      <w:bookmarkStart w:id="3" w:name="_Toc3"/>
      <w:pPr>
        <w:pStyle w:val="3"/>
        <w:numPr>
          <w:ilvl w:val="0"/>
          <w:numId w:val="7"/>
        </w:numPr>
        <w:tabs>
          <w:tab w:val="clear" w:pos="720"/>
        </w:tabs>
        <w:bidi w:val="0"/>
        <w:ind w:left="425" w:hanging="425" w:leftChars="0" w:firstLineChars="0"/>
      </w:pPr>
      <w:r>
        <w:t>2 设计目的</w:t>
      </w:r>
      <w:bookmarkEnd w:id="3"/>
    </w:p>
    <w:p>
      <w:pPr/>
      <w:r>
        <w:rPr>
          <w:rFonts w:ascii="微软雅黑" w:hAnsi="微软雅黑" w:eastAsia="微软雅黑"/>
          <w:b w:val="0"/>
          <w:color w:val="333333"/>
          <w:sz w:val="18"/>
        </w:rPr>
        <w:t>1. 用组合式配置覆盖近战、普通远程、弹射、多弹道、环形、矩阵、十字旋转、召唤、场景持续物和直线持续技能。</w:t>
      </w:r>
    </w:p>
    <w:p>
      <w:pPr/>
      <w:r>
        <w:rPr>
          <w:rFonts w:ascii="微软雅黑" w:hAnsi="微软雅黑" w:eastAsia="微软雅黑"/>
          <w:b w:val="0"/>
          <w:color w:val="333333"/>
          <w:sz w:val="18"/>
        </w:rPr>
        <w:t>2. 用强类型效果替代匿名参数槽，使策划表能自解释、能生成引用、能做静态校验。</w:t>
      </w:r>
    </w:p>
    <w:p>
      <w:pPr/>
      <w:r>
        <w:rPr>
          <w:rFonts w:ascii="微软雅黑" w:hAnsi="微软雅黑" w:eastAsia="微软雅黑"/>
          <w:b w:val="0"/>
          <w:color w:val="333333"/>
          <w:sz w:val="18"/>
        </w:rPr>
        <w:t>3. 保持现有三个投递类型和现有技能数据可继续运行，避免一次性重写战斗主循环。</w:t>
      </w:r>
    </w:p>
    <w:p>
      <w:pPr/>
      <w:r>
        <w:rPr>
          <w:rFonts w:ascii="微软雅黑" w:hAnsi="微软雅黑" w:eastAsia="微软雅黑"/>
          <w:b w:val="0"/>
          <w:color w:val="333333"/>
          <w:sz w:val="18"/>
        </w:rPr>
        <w:t>4. 所有业务数值、资源键、概率、距离、次数和时间只来自 Luban；运行时代码不复制默认值或兜底配置。</w:t>
      </w:r>
    </w:p>
    <w:p>
      <w:pPr/>
      <w:r>
        <w:rPr>
          <w:rFonts w:ascii="微软雅黑" w:hAnsi="微软雅黑" w:eastAsia="微软雅黑"/>
          <w:b w:val="0"/>
          <w:color w:val="333333"/>
          <w:sz w:val="18"/>
        </w:rPr>
        <w:t>5. 入局时把托管配置编译成固定容量的纯值模板，固定 Tick 内不查 Luban 表、不加载资源、不创建托管对象。</w:t>
      </w:r>
    </w:p>
    <w:p>
      <w:pPr/>
      <w:r>
        <w:rPr>
          <w:rFonts w:ascii="微软雅黑" w:hAnsi="微软雅黑" w:eastAsia="微软雅黑"/>
          <w:b w:val="0"/>
          <w:color w:val="333333"/>
          <w:sz w:val="18"/>
        </w:rPr>
        <w:t>6. 技能逻辑与表现解耦；逻辑只产生命中、伤害、状态、召唤和表现事件，由表现层消费。</w:t>
      </w:r>
    </w:p>
    <w:p>
      <w:bookmarkStart w:id="4" w:name="_Toc4"/>
      <w:pPr>
        <w:pStyle w:val="3"/>
        <w:numPr>
          <w:ilvl w:val="0"/>
          <w:numId w:val="7"/>
        </w:numPr>
        <w:tabs>
          <w:tab w:val="clear" w:pos="720"/>
        </w:tabs>
        <w:bidi w:val="0"/>
        <w:ind w:left="425" w:hanging="425" w:leftChars="0" w:firstLineChars="0"/>
      </w:pPr>
      <w:r>
        <w:t>3 范围与非范围</w:t>
      </w:r>
      <w:bookmarkEnd w:id="4"/>
    </w:p>
    <w:p>
      <w:bookmarkStart w:id="5" w:name="_Toc5"/>
      <w:pPr>
        <w:pStyle w:val="4"/>
        <w:numPr>
          <w:ilvl w:val="1"/>
          <w:numId w:val="7"/>
        </w:numPr>
        <w:bidi w:val="0"/>
        <w:spacing w:after="156"/>
        <w:ind w:left="605" w:hanging="425" w:leftChars="0" w:firstLineChars="0"/>
        <w:outlineLvl w:val="1"/>
      </w:pPr>
      <w:r>
        <w:t>3.1 本期范围</w:t>
      </w:r>
      <w:bookmarkEnd w:id="5"/>
    </w:p>
    <w:p>
      <w:pPr/>
      <w:r>
        <w:rPr>
          <w:rFonts w:ascii="微软雅黑" w:hAnsi="微软雅黑" w:eastAsia="微软雅黑"/>
          <w:b w:val="0"/>
          <w:color w:val="333333"/>
          <w:sz w:val="18"/>
        </w:rPr>
        <w:t>- 技能静态定义与等级成长引用。</w:t>
      </w:r>
    </w:p>
    <w:p>
      <w:pPr/>
      <w:r>
        <w:rPr>
          <w:rFonts w:ascii="微软雅黑" w:hAnsi="微软雅黑" w:eastAsia="微软雅黑"/>
          <w:b w:val="0"/>
          <w:color w:val="333333"/>
          <w:sz w:val="18"/>
        </w:rPr>
        <w:t>- 施法节奏、目标选择、投递方式和发射图案。</w:t>
      </w:r>
    </w:p>
    <w:p>
      <w:pPr/>
      <w:r>
        <w:rPr>
          <w:rFonts w:ascii="微软雅黑" w:hAnsi="微软雅黑" w:eastAsia="微软雅黑"/>
          <w:b w:val="0"/>
          <w:color w:val="333333"/>
          <w:sz w:val="18"/>
        </w:rPr>
        <w:t>- 弹体移动、穿透、弹射、命中与销毁策略。</w:t>
      </w:r>
    </w:p>
    <w:p>
      <w:pPr/>
      <w:r>
        <w:rPr>
          <w:rFonts w:ascii="微软雅黑" w:hAnsi="微软雅黑" w:eastAsia="微软雅黑"/>
          <w:b w:val="0"/>
          <w:color w:val="333333"/>
          <w:sz w:val="18"/>
        </w:rPr>
        <w:t>- 伤害、治疗、属性修改、位移、控制、护盾、触发和子技能等效果。</w:t>
      </w:r>
    </w:p>
    <w:p>
      <w:pPr/>
      <w:r>
        <w:rPr>
          <w:rFonts w:ascii="微软雅黑" w:hAnsi="微软雅黑" w:eastAsia="微软雅黑"/>
          <w:b w:val="0"/>
          <w:color w:val="333333"/>
          <w:sz w:val="18"/>
        </w:rPr>
        <w:t>- Buff 的叠加、刷新、周期触发、移除与生命周期。</w:t>
      </w:r>
    </w:p>
    <w:p>
      <w:pPr/>
      <w:r>
        <w:rPr>
          <w:rFonts w:ascii="微软雅黑" w:hAnsi="微软雅黑" w:eastAsia="微软雅黑"/>
          <w:b w:val="0"/>
          <w:color w:val="333333"/>
          <w:sz w:val="18"/>
        </w:rPr>
        <w:t>- 召唤单位、场景持续物和直线持续判定的配置边界。</w:t>
      </w:r>
    </w:p>
    <w:p>
      <w:pPr/>
      <w:r>
        <w:rPr>
          <w:rFonts w:ascii="微软雅黑" w:hAnsi="微软雅黑" w:eastAsia="微软雅黑"/>
          <w:b w:val="0"/>
          <w:color w:val="333333"/>
          <w:sz w:val="18"/>
        </w:rPr>
        <w:t>- 配置生成、跨表引用、确定性、容量和资源所有权门禁。</w:t>
      </w:r>
    </w:p>
    <w:p>
      <w:bookmarkStart w:id="6" w:name="_Toc6"/>
      <w:pPr>
        <w:pStyle w:val="4"/>
        <w:numPr>
          <w:ilvl w:val="1"/>
          <w:numId w:val="7"/>
        </w:numPr>
        <w:bidi w:val="0"/>
        <w:spacing w:after="156"/>
        <w:ind w:left="605" w:hanging="425" w:leftChars="0" w:firstLineChars="0"/>
        <w:outlineLvl w:val="1"/>
      </w:pPr>
      <w:r>
        <w:t>3.2 本期非范围</w:t>
      </w:r>
      <w:bookmarkEnd w:id="6"/>
    </w:p>
    <w:p>
      <w:pPr/>
      <w:r>
        <w:rPr>
          <w:rFonts w:ascii="微软雅黑" w:hAnsi="微软雅黑" w:eastAsia="微软雅黑"/>
          <w:b w:val="0"/>
          <w:color w:val="333333"/>
          <w:sz w:val="18"/>
        </w:rPr>
        <w:t>- 不制定具体技能数值和平衡曲线。</w:t>
      </w:r>
    </w:p>
    <w:p>
      <w:pPr/>
      <w:r>
        <w:rPr>
          <w:rFonts w:ascii="微软雅黑" w:hAnsi="微软雅黑" w:eastAsia="微软雅黑"/>
          <w:b w:val="0"/>
          <w:color w:val="333333"/>
          <w:sz w:val="18"/>
        </w:rPr>
        <w:t>- 不设计联网同步、服务器权威、账号、广告、热更或 CDN 流程。</w:t>
      </w:r>
    </w:p>
    <w:p>
      <w:pPr/>
      <w:r>
        <w:rPr>
          <w:rFonts w:ascii="微软雅黑" w:hAnsi="微软雅黑" w:eastAsia="微软雅黑"/>
          <w:b w:val="0"/>
          <w:color w:val="333333"/>
          <w:sz w:val="18"/>
        </w:rPr>
        <w:t>- 不迁入旧项目技能 ID、Buff ID 或资源 ID。</w:t>
      </w:r>
    </w:p>
    <w:p>
      <w:pPr/>
      <w:r>
        <w:rPr>
          <w:rFonts w:ascii="微软雅黑" w:hAnsi="微软雅黑" w:eastAsia="微软雅黑"/>
          <w:b w:val="0"/>
          <w:color w:val="333333"/>
          <w:sz w:val="18"/>
        </w:rPr>
        <w:t>- 不在方案确认前编辑 `j_技能_SkillConfig.xlsx`、`j_技能战斗_SkillCombatConfig.xlsx` 或新增正式表。</w:t>
      </w:r>
    </w:p>
    <w:p>
      <w:pPr/>
      <w:r>
        <w:rPr>
          <w:rFonts w:ascii="微软雅黑" w:hAnsi="微软雅黑" w:eastAsia="微软雅黑"/>
          <w:b w:val="0"/>
          <w:color w:val="333333"/>
          <w:sz w:val="18"/>
        </w:rPr>
        <w:t>- 不把表现 Prefab、碰撞体编辑值或运行时状态写入 ScriptableObject。</w:t>
      </w:r>
    </w:p>
    <w:p>
      <w:bookmarkStart w:id="7" w:name="_Toc7"/>
      <w:pPr>
        <w:pStyle w:val="3"/>
        <w:numPr>
          <w:ilvl w:val="0"/>
          <w:numId w:val="7"/>
        </w:numPr>
        <w:tabs>
          <w:tab w:val="clear" w:pos="720"/>
        </w:tabs>
        <w:bidi w:val="0"/>
        <w:ind w:left="425" w:hanging="425" w:leftChars="0" w:firstLineChars="0"/>
      </w:pPr>
      <w:r>
        <w:t>4 现状与参考审查</w:t>
      </w:r>
      <w:bookmarkEnd w:id="7"/>
    </w:p>
    <w:p>
      <w:bookmarkStart w:id="8" w:name="_Toc8"/>
      <w:pPr>
        <w:pStyle w:val="4"/>
        <w:numPr>
          <w:ilvl w:val="1"/>
          <w:numId w:val="7"/>
        </w:numPr>
        <w:bidi w:val="0"/>
        <w:spacing w:after="156"/>
        <w:ind w:left="605" w:hanging="425" w:leftChars="0" w:firstLineChars="0"/>
        <w:outlineLvl w:val="1"/>
      </w:pPr>
      <w:r>
        <w:t>4.1 当前项目基础</w:t>
      </w:r>
      <w:bookmarkEnd w:id="8"/>
    </w:p>
    <w:p>
      <w:pPr/>
      <w:r>
        <w:rPr>
          <w:rFonts w:ascii="微软雅黑" w:hAnsi="微软雅黑" w:eastAsia="微软雅黑"/>
          <w:b w:val="0"/>
          <w:color w:val="333333"/>
          <w:sz w:val="18"/>
        </w:rPr>
        <w:t>当前项目已经形成可运行的最小技能链路：</w:t>
      </w:r>
    </w:p>
    <w:p>
      <w:pPr/>
      <w:r>
        <w:rPr>
          <w:rFonts w:ascii="微软雅黑" w:hAnsi="微软雅黑" w:eastAsia="微软雅黑"/>
          <w:b w:val="0"/>
          <w:color w:val="333333"/>
          <w:sz w:val="18"/>
        </w:rPr>
        <w:t>`TbSkill → TbSkillCombat → CombatRunDefinition 校验 → CombatSession 入局编译 → CombatTickJob 固定 Tick 执行 → Damage／Impact／Area 事件 → Rendering 播放表现`</w:t>
      </w:r>
    </w:p>
    <w:tbl>
      <w:tblPr>
        <w:tblStyle w:val="37"/>
        <w:tblW w:type="dxa" w:w="8305"/>
        <w:tblLook w:firstColumn="1" w:firstRow="1" w:lastColumn="0" w:lastRow="0" w:noHBand="0" w:noVBand="1" w:val="04A0"/>
        <w:tblBorders>
          <w:top w:val="single" w:sz="4" w:space="0" w:color="AFCBD0"/>
          <w:left w:val="single" w:sz="4" w:space="0" w:color="AFCBD0"/>
          <w:bottom w:val="single" w:sz="4" w:space="0" w:color="AFCBD0"/>
          <w:right w:val="single" w:sz="4" w:space="0" w:color="AFCBD0"/>
          <w:insideH w:val="single" w:sz="4" w:space="0" w:color="AFCBD0"/>
          <w:insideV w:val="single" w:sz="4" w:space="0" w:color="AFCBD0"/>
        </w:tblBorders>
        <w:tblLayout w:type="autofit"/>
        <w:jc w:val="center"/>
      </w:tblPr>
      <w:tblGrid>
        <w:gridCol w:w="1360"/>
        <w:gridCol w:w="4005"/>
        <w:gridCol w:w="3170"/>
        <w:gridCol w:w="-230"/>
      </w:tblGrid>
      <w:tr>
        <w:trPr>
          <w:tblHeader w:val="true"/>
          <w:trHeight w:val="0" w:hRule="atLeast"/>
        </w:trPr>
        <w:tc>
          <w:tcPr>
            <w:tcW w:type="dxa" w:w="13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95B4D8"/>
          </w:tcPr>
          <w:p>
            <w:pPr>
              <w:pStyle w:val="16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现有能力</w:t>
            </w:r>
          </w:p>
        </w:tc>
        <w:tc>
          <w:tcPr>
            <w:tcW w:type="dxa" w:w="400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95B4D8"/>
          </w:tcPr>
          <w:p>
            <w:pPr>
              <w:pStyle w:val="16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配置位置</w:t>
            </w:r>
          </w:p>
        </w:tc>
        <w:tc>
          <w:tcPr>
            <w:tcW w:type="dxa" w:w="317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95B4D8"/>
          </w:tcPr>
          <w:p>
            <w:pPr>
              <w:pStyle w:val="16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运行时状态</w:t>
            </w:r>
          </w:p>
        </w:tc>
        <w:tc>
          <w:tcPr>
            <w:tcW w:type="dxa" w:w="-23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95B4D8"/>
          </w:tcPr>
          <w:p>
            <w:pPr>
              <w:pStyle w:val="16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结论</w:t>
            </w:r>
          </w:p>
        </w:tc>
      </w:tr>
      <w:tr>
        <w:trPr>
          <w:trHeight w:val="0" w:hRule="atLeast"/>
        </w:trPr>
        <w:tc>
          <w:tcPr>
            <w:tcW w:type="dxa" w:w="13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直线弹丸</w:t>
            </w:r>
          </w:p>
        </w:tc>
        <w:tc>
          <w:tcPr>
            <w:tcW w:type="dxa" w:w="400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Projectile</w:t>
            </w:r>
          </w:p>
        </w:tc>
        <w:tc>
          <w:tcPr>
            <w:tcW w:type="dxa" w:w="317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CombatProjectile 池</w:t>
            </w:r>
          </w:p>
        </w:tc>
        <w:tc>
          <w:tcPr>
            <w:tcW w:type="dxa" w:w="-23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保留并抽象为投递器与弹体定义</w:t>
            </w:r>
          </w:p>
        </w:tc>
      </w:tr>
      <w:tr>
        <w:trPr>
          <w:trHeight w:val="0" w:hRule="atLeast"/>
        </w:trPr>
        <w:tc>
          <w:tcPr>
            <w:tcW w:type="dxa" w:w="13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普通近战</w:t>
            </w:r>
          </w:p>
        </w:tc>
        <w:tc>
          <w:tcPr>
            <w:tcW w:type="dxa" w:w="400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Melee</w:t>
            </w:r>
          </w:p>
        </w:tc>
        <w:tc>
          <w:tcPr>
            <w:tcW w:type="dxa" w:w="317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CombatUnit 攻击状态</w:t>
            </w:r>
          </w:p>
        </w:tc>
        <w:tc>
          <w:tcPr>
            <w:tcW w:type="dxa" w:w="-23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保留，补攻击形状和效果组引用</w:t>
            </w:r>
          </w:p>
        </w:tc>
      </w:tr>
      <w:tr>
        <w:trPr>
          <w:trHeight w:val="0" w:hRule="atLeast"/>
        </w:trPr>
        <w:tc>
          <w:tcPr>
            <w:tcW w:type="dxa" w:w="13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目标位置范围</w:t>
            </w:r>
          </w:p>
        </w:tc>
        <w:tc>
          <w:tcPr>
            <w:tcW w:type="dxa" w:w="400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TargetArea</w:t>
            </w:r>
          </w:p>
        </w:tc>
        <w:tc>
          <w:tcPr>
            <w:tcW w:type="dxa" w:w="317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CombatWeaponState 与 AreaEvent</w:t>
            </w:r>
          </w:p>
        </w:tc>
        <w:tc>
          <w:tcPr>
            <w:tcW w:type="dxa" w:w="-23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保留，演进为瞬时或持续区域</w:t>
            </w:r>
          </w:p>
        </w:tc>
      </w:tr>
      <w:tr>
        <w:trPr>
          <w:trHeight w:val="0" w:hRule="atLeast"/>
        </w:trPr>
        <w:tc>
          <w:tcPr>
            <w:tcW w:type="dxa" w:w="13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属性升级</w:t>
            </w:r>
          </w:p>
        </w:tc>
        <w:tc>
          <w:tcPr>
            <w:tcW w:type="dxa" w:w="400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TbUpgradeOption.modifiers</w:t>
            </w:r>
          </w:p>
        </w:tc>
        <w:tc>
          <w:tcPr>
            <w:tcW w:type="dxa" w:w="317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RunAttributeModifier</w:t>
            </w:r>
          </w:p>
        </w:tc>
        <w:tc>
          <w:tcPr>
            <w:tcW w:type="dxa" w:w="-23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可复用操作枚举，但不能替代技能效果系统</w:t>
            </w:r>
          </w:p>
        </w:tc>
      </w:tr>
      <w:tr>
        <w:trPr>
          <w:trHeight w:val="0" w:hRule="atLeast"/>
        </w:trPr>
        <w:tc>
          <w:tcPr>
            <w:tcW w:type="dxa" w:w="13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技能表现</w:t>
            </w:r>
          </w:p>
        </w:tc>
        <w:tc>
          <w:tcPr>
            <w:tcW w:type="dxa" w:w="400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TbSkill 与 TbVisualSet／TbAnimationClip</w:t>
            </w:r>
          </w:p>
        </w:tc>
        <w:tc>
          <w:tcPr>
            <w:tcW w:type="dxa" w:w="317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CombatVisualResources</w:t>
            </w:r>
          </w:p>
        </w:tc>
        <w:tc>
          <w:tcPr>
            <w:tcW w:type="dxa" w:w="-23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保留资源分层，新增事件用途而非在逻辑中直接加载</w:t>
            </w:r>
          </w:p>
        </w:tc>
      </w:tr>
    </w:tbl>
    <w:p>
      <w:pPr/>
      <w:r>
        <w:rPr>
          <w:rFonts w:ascii="微软雅黑" w:hAnsi="微软雅黑" w:eastAsia="微软雅黑"/>
          <w:b w:val="0"/>
          <w:color w:val="333333"/>
          <w:sz w:val="18"/>
        </w:rPr>
        <w:t>当前 `TbSkill` 同时承载身份、碰撞尺寸和部分表现字段，`TbSkillCombat` 承载投递类型、间隔、范围、弹速、寿命和近战前摇。这个结构适合当前三类 MVP，但若继续横向增加可空列，将快速演变为难以校验的大宽表。</w:t>
      </w:r>
    </w:p>
    <w:p>
      <w:bookmarkStart w:id="9" w:name="_Toc9"/>
      <w:pPr>
        <w:pStyle w:val="4"/>
        <w:numPr>
          <w:ilvl w:val="1"/>
          <w:numId w:val="7"/>
        </w:numPr>
        <w:bidi w:val="0"/>
        <w:spacing w:after="156"/>
        <w:ind w:left="605" w:hanging="425" w:leftChars="0" w:firstLineChars="0"/>
        <w:outlineLvl w:val="1"/>
      </w:pPr>
      <w:r>
        <w:t>4.2 旧项目 Excel 的有效信息</w:t>
      </w:r>
      <w:bookmarkEnd w:id="9"/>
    </w:p>
    <w:p>
      <w:pPr/>
      <w:r>
        <w:rPr>
          <w:rFonts w:ascii="微软雅黑" w:hAnsi="微软雅黑" w:eastAsia="微软雅黑"/>
          <w:b w:val="0"/>
          <w:color w:val="333333"/>
          <w:sz w:val="18"/>
        </w:rPr>
        <w:t>旧表提供两类参考事实：11 种常见技能外观模式，以及 35 种曾经需要表达的 Buff／效果能力。它适合作为覆盖检查表，不适合作为新项目的直接 Schema。</w:t>
      </w:r>
    </w:p>
    <w:tbl>
      <w:tblPr>
        <w:tblStyle w:val="37"/>
        <w:tblW w:type="dxa" w:w="8305"/>
        <w:tblLook w:firstColumn="1" w:firstRow="1" w:lastColumn="0" w:lastRow="0" w:noHBand="0" w:noVBand="1" w:val="04A0"/>
        <w:tblBorders>
          <w:top w:val="single" w:sz="4" w:space="0" w:color="AFCBD0"/>
          <w:left w:val="single" w:sz="4" w:space="0" w:color="AFCBD0"/>
          <w:bottom w:val="single" w:sz="4" w:space="0" w:color="AFCBD0"/>
          <w:right w:val="single" w:sz="4" w:space="0" w:color="AFCBD0"/>
          <w:insideH w:val="single" w:sz="4" w:space="0" w:color="AFCBD0"/>
          <w:insideV w:val="single" w:sz="4" w:space="0" w:color="AFCBD0"/>
        </w:tblBorders>
        <w:tblLayout w:type="autofit"/>
        <w:jc w:val="center"/>
      </w:tblPr>
      <w:tblGrid>
        <w:gridCol w:w="1700"/>
        <w:gridCol w:w="4000"/>
        <w:gridCol w:w="2605"/>
      </w:tblGrid>
      <w:tr>
        <w:trPr>
          <w:tblHeader w:val="true"/>
          <w:trHeight w:val="0" w:hRule="atLeast"/>
        </w:trPr>
        <w:tc>
          <w:tcPr>
            <w:tcW w:type="dxa" w:w="17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95B4D8"/>
          </w:tcPr>
          <w:p>
            <w:pPr>
              <w:pStyle w:val="16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旧技能类型</w:t>
            </w:r>
          </w:p>
        </w:tc>
        <w:tc>
          <w:tcPr>
            <w:tcW w:type="dxa" w:w="40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95B4D8"/>
          </w:tcPr>
          <w:p>
            <w:pPr>
              <w:pStyle w:val="16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新系统映射</w:t>
            </w:r>
          </w:p>
        </w:tc>
        <w:tc>
          <w:tcPr>
            <w:tcW w:type="dxa" w:w="260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95B4D8"/>
          </w:tcPr>
          <w:p>
            <w:pPr>
              <w:pStyle w:val="16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设计判断</w:t>
            </w:r>
          </w:p>
        </w:tc>
      </w:tr>
      <w:tr>
        <w:trPr>
          <w:trHeight w:val="0" w:hRule="atLeast"/>
        </w:trPr>
        <w:tc>
          <w:tcPr>
            <w:tcW w:type="dxa" w:w="17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普通近战</w:t>
            </w:r>
          </w:p>
        </w:tc>
        <w:tc>
          <w:tcPr>
            <w:tcW w:type="dxa" w:w="40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Melee 投递 + Arc／Circle 判定 + 效果组</w:t>
            </w:r>
          </w:p>
        </w:tc>
        <w:tc>
          <w:tcPr>
            <w:tcW w:type="dxa" w:w="260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目标与效果分别配置，不把“自身目标、敌方 Buff”写成类型特例</w:t>
            </w:r>
          </w:p>
        </w:tc>
      </w:tr>
      <w:tr>
        <w:trPr>
          <w:trHeight w:val="0" w:hRule="atLeast"/>
        </w:trPr>
        <w:tc>
          <w:tcPr>
            <w:tcW w:type="dxa" w:w="17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普通远程</w:t>
            </w:r>
          </w:p>
        </w:tc>
        <w:tc>
          <w:tcPr>
            <w:tcW w:type="dxa" w:w="40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Projectile 投递 + Single／Burst 发射图案</w:t>
            </w:r>
          </w:p>
        </w:tc>
        <w:tc>
          <w:tcPr>
            <w:tcW w:type="dxa" w:w="260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每目标数量、间隔和弹速拆到发射图案与弹体</w:t>
            </w:r>
          </w:p>
        </w:tc>
      </w:tr>
      <w:tr>
        <w:trPr>
          <w:trHeight w:val="0" w:hRule="atLeast"/>
        </w:trPr>
        <w:tc>
          <w:tcPr>
            <w:tcW w:type="dxa" w:w="17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弹射技能</w:t>
            </w:r>
          </w:p>
        </w:tc>
        <w:tc>
          <w:tcPr>
            <w:tcW w:type="dxa" w:w="40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Projectile 投递 + Chain 命中行为</w:t>
            </w:r>
          </w:p>
        </w:tc>
        <w:tc>
          <w:tcPr>
            <w:tcW w:type="dxa" w:w="260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弹射次数、搜索范围和衰减属于弹体命中行为</w:t>
            </w:r>
          </w:p>
        </w:tc>
      </w:tr>
      <w:tr>
        <w:trPr>
          <w:trHeight w:val="0" w:hRule="atLeast"/>
        </w:trPr>
        <w:tc>
          <w:tcPr>
            <w:tcW w:type="dxa" w:w="17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单行子弹发射器</w:t>
            </w:r>
          </w:p>
        </w:tc>
        <w:tc>
          <w:tcPr>
            <w:tcW w:type="dxa" w:w="40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Projectile 投递 + Stream 图案</w:t>
            </w:r>
          </w:p>
        </w:tc>
        <w:tc>
          <w:tcPr>
            <w:tcW w:type="dxa" w:w="260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连发数量和间隔属于发射图案</w:t>
            </w:r>
          </w:p>
        </w:tc>
      </w:tr>
      <w:tr>
        <w:trPr>
          <w:trHeight w:val="0" w:hRule="atLeast"/>
        </w:trPr>
        <w:tc>
          <w:tcPr>
            <w:tcW w:type="dxa" w:w="17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多弹道子弹发射器</w:t>
            </w:r>
          </w:p>
        </w:tc>
        <w:tc>
          <w:tcPr>
            <w:tcW w:type="dxa" w:w="40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Projectile 投递 + MultiLane／Fan 图案</w:t>
            </w:r>
          </w:p>
        </w:tc>
        <w:tc>
          <w:tcPr>
            <w:tcW w:type="dxa" w:w="260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列数、角度和间距显式命名</w:t>
            </w:r>
          </w:p>
        </w:tc>
      </w:tr>
      <w:tr>
        <w:trPr>
          <w:trHeight w:val="0" w:hRule="atLeast"/>
        </w:trPr>
        <w:tc>
          <w:tcPr>
            <w:tcW w:type="dxa" w:w="17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圆形子弹发射器</w:t>
            </w:r>
          </w:p>
        </w:tc>
        <w:tc>
          <w:tcPr>
            <w:tcW w:type="dxa" w:w="40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Projectile 投递 + Radial 图案</w:t>
            </w:r>
          </w:p>
        </w:tc>
        <w:tc>
          <w:tcPr>
            <w:tcW w:type="dxa" w:w="260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发射数和角度步长由图案生成</w:t>
            </w:r>
          </w:p>
        </w:tc>
      </w:tr>
      <w:tr>
        <w:trPr>
          <w:trHeight w:val="0" w:hRule="atLeast"/>
        </w:trPr>
        <w:tc>
          <w:tcPr>
            <w:tcW w:type="dxa" w:w="17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图片子弹发射器</w:t>
            </w:r>
          </w:p>
        </w:tc>
        <w:tc>
          <w:tcPr>
            <w:tcW w:type="dxa" w:w="40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Projectile 投递 + Matrix 图案</w:t>
            </w:r>
          </w:p>
        </w:tc>
        <w:tc>
          <w:tcPr>
            <w:tcW w:type="dxa" w:w="260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行列间距属于矩阵图案，图片只作为编辑辅助，不成为运行时隐式规则</w:t>
            </w:r>
          </w:p>
        </w:tc>
      </w:tr>
      <w:tr>
        <w:trPr>
          <w:trHeight w:val="0" w:hRule="atLeast"/>
        </w:trPr>
        <w:tc>
          <w:tcPr>
            <w:tcW w:type="dxa" w:w="17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十字子弹发射器</w:t>
            </w:r>
          </w:p>
        </w:tc>
        <w:tc>
          <w:tcPr>
            <w:tcW w:type="dxa" w:w="40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Projectile 投递 + CrossRotating 图案</w:t>
            </w:r>
          </w:p>
        </w:tc>
        <w:tc>
          <w:tcPr>
            <w:tcW w:type="dxa" w:w="260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长度、间距和旋转速度由专用图案配置</w:t>
            </w:r>
          </w:p>
        </w:tc>
      </w:tr>
      <w:tr>
        <w:trPr>
          <w:trHeight w:val="0" w:hRule="atLeast"/>
        </w:trPr>
        <w:tc>
          <w:tcPr>
            <w:tcW w:type="dxa" w:w="17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召唤技能</w:t>
            </w:r>
          </w:p>
        </w:tc>
        <w:tc>
          <w:tcPr>
            <w:tcW w:type="dxa" w:w="40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Summon 投递 + 召唤组</w:t>
            </w:r>
          </w:p>
        </w:tc>
        <w:tc>
          <w:tcPr>
            <w:tcW w:type="dxa" w:w="260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多个召唤条目使用列表，不使用重复参数对</w:t>
            </w:r>
          </w:p>
        </w:tc>
      </w:tr>
      <w:tr>
        <w:trPr>
          <w:trHeight w:val="0" w:hRule="atLeast"/>
        </w:trPr>
        <w:tc>
          <w:tcPr>
            <w:tcW w:type="dxa" w:w="17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场景技能</w:t>
            </w:r>
          </w:p>
        </w:tc>
        <w:tc>
          <w:tcPr>
            <w:tcW w:type="dxa" w:w="40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PersistentArea／SceneSpawner 投递</w:t>
            </w:r>
          </w:p>
        </w:tc>
        <w:tc>
          <w:tcPr>
            <w:tcW w:type="dxa" w:w="260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场景持续物拥有独立生命周期与生成规则</w:t>
            </w:r>
          </w:p>
        </w:tc>
      </w:tr>
      <w:tr>
        <w:trPr>
          <w:trHeight w:val="0" w:hRule="atLeast"/>
        </w:trPr>
        <w:tc>
          <w:tcPr>
            <w:tcW w:type="dxa" w:w="17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直线技能</w:t>
            </w:r>
          </w:p>
        </w:tc>
        <w:tc>
          <w:tcPr>
            <w:tcW w:type="dxa" w:w="40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Beam 投递 + 周期命中</w:t>
            </w:r>
          </w:p>
        </w:tc>
        <w:tc>
          <w:tcPr>
            <w:tcW w:type="dxa" w:w="260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持续时间、命中频率和穿透策略独立配置</w:t>
            </w:r>
          </w:p>
        </w:tc>
      </w:tr>
    </w:tbl>
    <w:p>
      <w:pPr/>
      <w:r>
        <w:rPr>
          <w:rFonts w:ascii="微软雅黑" w:hAnsi="微软雅黑" w:eastAsia="微软雅黑"/>
          <w:b w:val="0"/>
          <w:color w:val="333333"/>
          <w:sz w:val="18"/>
        </w:rPr>
        <w:t>旧 Buff 的 35 行可归并为八个强类型效果域：直接数值、属性修改、位移控制、护盾、生效触发、技能／弹体修饰、召唤／场景物修饰、表现覆盖。旧表中的百分比扩大倍数、布尔值编码和 `参数0～参数6` 不继承；新表字段直接声明单位、类型、引用和空值规则。</w:t>
      </w:r>
    </w:p>
    <w:p>
      <w:bookmarkStart w:id="10" w:name="_Toc10"/>
      <w:pPr>
        <w:pStyle w:val="4"/>
        <w:numPr>
          <w:ilvl w:val="1"/>
          <w:numId w:val="7"/>
        </w:numPr>
        <w:bidi w:val="0"/>
        <w:spacing w:after="156"/>
        <w:ind w:left="605" w:hanging="425" w:leftChars="0" w:firstLineChars="0"/>
        <w:outlineLvl w:val="1"/>
      </w:pPr>
      <w:r>
        <w:t>4.3 Tower 参考工程</w:t>
      </w:r>
      <w:bookmarkEnd w:id="10"/>
    </w:p>
    <w:p>
      <w:pPr/>
      <w:r>
        <w:rPr>
          <w:rFonts w:ascii="微软雅黑" w:hAnsi="微软雅黑" w:eastAsia="微软雅黑"/>
          <w:b w:val="0"/>
          <w:color w:val="333333"/>
          <w:sz w:val="18"/>
        </w:rPr>
        <w:t>规范要求的 `Tower 参考工程的 Assets 目录` 当前不可访问，因此本版无法核对其 Battle、Skill、Buff、TableData、Generate 和 ExcelTools 的同类实现。此事实不阻断方案设计，但正式编码前应再次定向检查；如路径仍不可访问，则以当前项目的单机范围、Luban 唯一数据源、Entities 1.0、YooAsset 2.3.19、注释和测试规范为准。</w:t>
      </w:r>
    </w:p>
    <w:p>
      <w:bookmarkStart w:id="11" w:name="_Toc11"/>
      <w:pPr>
        <w:pStyle w:val="3"/>
        <w:numPr>
          <w:ilvl w:val="0"/>
          <w:numId w:val="7"/>
        </w:numPr>
        <w:tabs>
          <w:tab w:val="clear" w:pos="720"/>
        </w:tabs>
        <w:bidi w:val="0"/>
        <w:ind w:left="425" w:hanging="425" w:leftChars="0" w:firstLineChars="0"/>
      </w:pPr>
      <w:r>
        <w:t>5 核心设计</w:t>
      </w:r>
      <w:bookmarkEnd w:id="11"/>
    </w:p>
    <w:p>
      <w:bookmarkStart w:id="12" w:name="_Toc12"/>
      <w:pPr>
        <w:pStyle w:val="4"/>
        <w:numPr>
          <w:ilvl w:val="1"/>
          <w:numId w:val="7"/>
        </w:numPr>
        <w:bidi w:val="0"/>
        <w:spacing w:after="156"/>
        <w:ind w:left="605" w:hanging="425" w:leftChars="0" w:firstLineChars="0"/>
        <w:outlineLvl w:val="1"/>
      </w:pPr>
      <w:r>
        <w:t>5.1 组合模型</w:t>
      </w:r>
      <w:bookmarkEnd w:id="12"/>
    </w:p>
    <w:p>
      <w:pPr/>
      <w:r>
        <w:rPr>
          <w:rFonts w:ascii="微软雅黑" w:hAnsi="微软雅黑" w:eastAsia="微软雅黑"/>
          <w:b w:val="0"/>
          <w:color w:val="333333"/>
          <w:sz w:val="18"/>
        </w:rPr>
        <w:t>一个技能不再等同于一个“技能类型”。完整技能由五段组合：</w:t>
      </w:r>
    </w:p>
    <w:p>
      <w:pPr/>
      <w:r>
        <w:rPr>
          <w:rFonts w:ascii="微软雅黑" w:hAnsi="微软雅黑" w:eastAsia="微软雅黑"/>
          <w:b w:val="0"/>
          <w:color w:val="333333"/>
          <w:sz w:val="18"/>
        </w:rPr>
        <w:t>`技能身份 → 施法与目标 → 投递器／发射图案 → 命中效果组 → 触发与修饰`</w:t>
      </w:r>
    </w:p>
    <w:p>
      <w:pPr/>
      <w:r>
        <w:rPr>
          <w:rFonts w:ascii="微软雅黑" w:hAnsi="微软雅黑" w:eastAsia="微软雅黑"/>
          <w:b w:val="0"/>
          <w:color w:val="333333"/>
          <w:sz w:val="18"/>
        </w:rPr>
        <w:t>例如，“环形火球命中后爆炸并附加灼烧”由 Projectile 投递、Radial 图案、Projectile 弹体、Damage＋SpawnChildSkill 命中效果和 Burn 状态组成。环形、爆炸、灼烧彼此独立，可被其他技能复用，也能分别校验和测试。</w:t>
      </w:r>
    </w:p>
    <w:p>
      <w:bookmarkStart w:id="13" w:name="_Toc13"/>
      <w:pPr>
        <w:pStyle w:val="4"/>
        <w:numPr>
          <w:ilvl w:val="1"/>
          <w:numId w:val="7"/>
        </w:numPr>
        <w:bidi w:val="0"/>
        <w:spacing w:after="156"/>
        <w:ind w:left="605" w:hanging="425" w:leftChars="0" w:firstLineChars="0"/>
        <w:outlineLvl w:val="1"/>
      </w:pPr>
      <w:r>
        <w:t>5.2 职责边界</w:t>
      </w:r>
      <w:bookmarkEnd w:id="13"/>
    </w:p>
    <w:tbl>
      <w:tblPr>
        <w:tblStyle w:val="37"/>
        <w:tblW w:type="dxa" w:w="8305"/>
        <w:tblLook w:firstColumn="1" w:firstRow="1" w:lastColumn="0" w:lastRow="0" w:noHBand="0" w:noVBand="1" w:val="04A0"/>
        <w:tblBorders>
          <w:top w:val="single" w:sz="4" w:space="0" w:color="AFCBD0"/>
          <w:left w:val="single" w:sz="4" w:space="0" w:color="AFCBD0"/>
          <w:bottom w:val="single" w:sz="4" w:space="0" w:color="AFCBD0"/>
          <w:right w:val="single" w:sz="4" w:space="0" w:color="AFCBD0"/>
          <w:insideH w:val="single" w:sz="4" w:space="0" w:color="AFCBD0"/>
          <w:insideV w:val="single" w:sz="4" w:space="0" w:color="AFCBD0"/>
        </w:tblBorders>
        <w:tblLayout w:type="autofit"/>
        <w:jc w:val="center"/>
      </w:tblPr>
      <w:tblGrid>
        <w:gridCol w:w="1020"/>
        <w:gridCol w:w="5290"/>
        <w:gridCol w:w="1995"/>
      </w:tblGrid>
      <w:tr>
        <w:trPr>
          <w:tblHeader w:val="true"/>
          <w:trHeight w:val="0" w:hRule="atLeast"/>
        </w:trPr>
        <w:tc>
          <w:tcPr>
            <w:tcW w:type="dxa" w:w="102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95B4D8"/>
          </w:tcPr>
          <w:p>
            <w:pPr>
              <w:pStyle w:val="16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529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95B4D8"/>
          </w:tcPr>
          <w:p>
            <w:pPr>
              <w:pStyle w:val="16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负责</w:t>
            </w:r>
          </w:p>
        </w:tc>
        <w:tc>
          <w:tcPr>
            <w:tcW w:type="dxa" w:w="199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95B4D8"/>
          </w:tcPr>
          <w:p>
            <w:pPr>
              <w:pStyle w:val="16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不负责</w:t>
            </w:r>
          </w:p>
        </w:tc>
      </w:tr>
      <w:tr>
        <w:trPr>
          <w:trHeight w:val="0" w:hRule="atLeast"/>
        </w:trPr>
        <w:tc>
          <w:tcPr>
            <w:tcW w:type="dxa" w:w="102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技能定义</w:t>
            </w:r>
          </w:p>
        </w:tc>
        <w:tc>
          <w:tcPr>
            <w:tcW w:type="dxa" w:w="529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名称、图标、品质、等级组、战斗配置和表现集合引用</w:t>
            </w:r>
          </w:p>
        </w:tc>
        <w:tc>
          <w:tcPr>
            <w:tcW w:type="dxa" w:w="199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不保存运行时冷却和命中目标</w:t>
            </w:r>
          </w:p>
        </w:tc>
      </w:tr>
      <w:tr>
        <w:trPr>
          <w:trHeight w:val="0" w:hRule="atLeast"/>
        </w:trPr>
        <w:tc>
          <w:tcPr>
            <w:tcW w:type="dxa" w:w="102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施法配置</w:t>
            </w:r>
          </w:p>
        </w:tc>
        <w:tc>
          <w:tcPr>
            <w:tcW w:type="dxa" w:w="529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基础间隔、前摇、后摇、目标规则、施法距离</w:t>
            </w:r>
          </w:p>
        </w:tc>
        <w:tc>
          <w:tcPr>
            <w:tcW w:type="dxa" w:w="199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不定义弹体轨迹和伤害结果</w:t>
            </w:r>
          </w:p>
        </w:tc>
      </w:tr>
      <w:tr>
        <w:trPr>
          <w:trHeight w:val="0" w:hRule="atLeast"/>
        </w:trPr>
        <w:tc>
          <w:tcPr>
            <w:tcW w:type="dxa" w:w="102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投递器</w:t>
            </w:r>
          </w:p>
        </w:tc>
        <w:tc>
          <w:tcPr>
            <w:tcW w:type="dxa" w:w="529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Melee、Projectile、TargetArea、Beam、Summon 的生成方式</w:t>
            </w:r>
          </w:p>
        </w:tc>
        <w:tc>
          <w:tcPr>
            <w:tcW w:type="dxa" w:w="199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不直接修改生命或属性</w:t>
            </w:r>
          </w:p>
        </w:tc>
      </w:tr>
      <w:tr>
        <w:trPr>
          <w:trHeight w:val="0" w:hRule="atLeast"/>
        </w:trPr>
        <w:tc>
          <w:tcPr>
            <w:tcW w:type="dxa" w:w="102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发射图案</w:t>
            </w:r>
          </w:p>
        </w:tc>
        <w:tc>
          <w:tcPr>
            <w:tcW w:type="dxa" w:w="529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数量、批次、角度、行列、间距、旋转</w:t>
            </w:r>
          </w:p>
        </w:tc>
        <w:tc>
          <w:tcPr>
            <w:tcW w:type="dxa" w:w="199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不读取角色表现节点</w:t>
            </w:r>
          </w:p>
        </w:tc>
      </w:tr>
      <w:tr>
        <w:trPr>
          <w:trHeight w:val="0" w:hRule="atLeast"/>
        </w:trPr>
        <w:tc>
          <w:tcPr>
            <w:tcW w:type="dxa" w:w="102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弹体定义</w:t>
            </w:r>
          </w:p>
        </w:tc>
        <w:tc>
          <w:tcPr>
            <w:tcW w:type="dxa" w:w="529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速度、寿命、半径、轨迹、穿透、弹射和销毁</w:t>
            </w:r>
          </w:p>
        </w:tc>
        <w:tc>
          <w:tcPr>
            <w:tcW w:type="dxa" w:w="199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不决定技能等级成长</w:t>
            </w:r>
          </w:p>
        </w:tc>
      </w:tr>
      <w:tr>
        <w:trPr>
          <w:trHeight w:val="0" w:hRule="atLeast"/>
        </w:trPr>
        <w:tc>
          <w:tcPr>
            <w:tcW w:type="dxa" w:w="102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效果组</w:t>
            </w:r>
          </w:p>
        </w:tc>
        <w:tc>
          <w:tcPr>
            <w:tcW w:type="dxa" w:w="529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按顺序执行伤害、治疗、状态、位移、召唤等效果</w:t>
            </w:r>
          </w:p>
        </w:tc>
        <w:tc>
          <w:tcPr>
            <w:tcW w:type="dxa" w:w="199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不加载视觉资源</w:t>
            </w:r>
          </w:p>
        </w:tc>
      </w:tr>
      <w:tr>
        <w:trPr>
          <w:trHeight w:val="0" w:hRule="atLeast"/>
        </w:trPr>
        <w:tc>
          <w:tcPr>
            <w:tcW w:type="dxa" w:w="102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状态定义</w:t>
            </w:r>
          </w:p>
        </w:tc>
        <w:tc>
          <w:tcPr>
            <w:tcW w:type="dxa" w:w="529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持续时间、叠层、刷新、周期和移除规则</w:t>
            </w:r>
          </w:p>
        </w:tc>
        <w:tc>
          <w:tcPr>
            <w:tcW w:type="dxa" w:w="199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不依赖 MonoBehaviour 生命周期</w:t>
            </w:r>
          </w:p>
        </w:tc>
      </w:tr>
      <w:tr>
        <w:trPr>
          <w:trHeight w:val="0" w:hRule="atLeast"/>
        </w:trPr>
        <w:tc>
          <w:tcPr>
            <w:tcW w:type="dxa" w:w="102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触发器</w:t>
            </w:r>
          </w:p>
        </w:tc>
        <w:tc>
          <w:tcPr>
            <w:tcW w:type="dxa" w:w="529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施法、命中、受击、击杀、周期等事件转发</w:t>
            </w:r>
          </w:p>
        </w:tc>
        <w:tc>
          <w:tcPr>
            <w:tcW w:type="dxa" w:w="199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不绕过触发深度和次数门禁</w:t>
            </w:r>
          </w:p>
        </w:tc>
      </w:tr>
      <w:tr>
        <w:trPr>
          <w:trHeight w:val="0" w:hRule="atLeast"/>
        </w:trPr>
        <w:tc>
          <w:tcPr>
            <w:tcW w:type="dxa" w:w="102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表现事件</w:t>
            </w:r>
          </w:p>
        </w:tc>
        <w:tc>
          <w:tcPr>
            <w:tcW w:type="dxa" w:w="529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飞行、命中、范围、Buff、召唤等事件载荷</w:t>
            </w:r>
          </w:p>
        </w:tc>
        <w:tc>
          <w:tcPr>
            <w:tcW w:type="dxa" w:w="199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不参与确定性数值结算</w:t>
            </w:r>
          </w:p>
        </w:tc>
      </w:tr>
    </w:tbl>
    <w:p>
      <w:bookmarkStart w:id="14" w:name="_Toc14"/>
      <w:pPr>
        <w:pStyle w:val="3"/>
        <w:numPr>
          <w:ilvl w:val="0"/>
          <w:numId w:val="7"/>
        </w:numPr>
        <w:tabs>
          <w:tab w:val="clear" w:pos="720"/>
        </w:tabs>
        <w:bidi w:val="0"/>
        <w:ind w:left="425" w:hanging="425" w:leftChars="0" w:firstLineChars="0"/>
      </w:pPr>
      <w:r>
        <w:t>6 Luban 表结构方案</w:t>
      </w:r>
      <w:bookmarkEnd w:id="14"/>
    </w:p>
    <w:p>
      <w:bookmarkStart w:id="15" w:name="_Toc15"/>
      <w:pPr>
        <w:pStyle w:val="4"/>
        <w:numPr>
          <w:ilvl w:val="1"/>
          <w:numId w:val="7"/>
        </w:numPr>
        <w:bidi w:val="0"/>
        <w:spacing w:after="156"/>
        <w:ind w:left="605" w:hanging="425" w:leftChars="0" w:firstLineChars="0"/>
        <w:outlineLvl w:val="1"/>
      </w:pPr>
      <w:r>
        <w:t>6.1 保留并调整的表</w:t>
      </w:r>
      <w:bookmarkEnd w:id="15"/>
    </w:p>
    <w:tbl>
      <w:tblPr>
        <w:tblStyle w:val="37"/>
        <w:tblW w:type="dxa" w:w="8305"/>
        <w:tblLook w:firstColumn="1" w:firstRow="1" w:lastColumn="0" w:lastRow="0" w:noHBand="0" w:noVBand="1" w:val="04A0"/>
        <w:tblBorders>
          <w:top w:val="single" w:sz="4" w:space="0" w:color="AFCBD0"/>
          <w:left w:val="single" w:sz="4" w:space="0" w:color="AFCBD0"/>
          <w:bottom w:val="single" w:sz="4" w:space="0" w:color="AFCBD0"/>
          <w:right w:val="single" w:sz="4" w:space="0" w:color="AFCBD0"/>
          <w:insideH w:val="single" w:sz="4" w:space="0" w:color="AFCBD0"/>
          <w:insideV w:val="single" w:sz="4" w:space="0" w:color="AFCBD0"/>
        </w:tblBorders>
        <w:tblLayout w:type="autofit"/>
        <w:jc w:val="center"/>
      </w:tblPr>
      <w:tblGrid>
        <w:gridCol w:w="2980"/>
        <w:gridCol w:w="8470"/>
        <w:gridCol w:w="-3145"/>
      </w:tblGrid>
      <w:tr>
        <w:trPr>
          <w:tblHeader w:val="true"/>
          <w:trHeight w:val="0" w:hRule="atLeast"/>
        </w:trPr>
        <w:tc>
          <w:tcPr>
            <w:tcW w:type="dxa" w:w="29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95B4D8"/>
          </w:tcPr>
          <w:p>
            <w:pPr>
              <w:pStyle w:val="16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表</w:t>
            </w:r>
          </w:p>
        </w:tc>
        <w:tc>
          <w:tcPr>
            <w:tcW w:type="dxa" w:w="847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95B4D8"/>
          </w:tcPr>
          <w:p>
            <w:pPr>
              <w:pStyle w:val="16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调整方案</w:t>
            </w:r>
          </w:p>
        </w:tc>
        <w:tc>
          <w:tcPr>
            <w:tcW w:type="dxa" w:w="-314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95B4D8"/>
          </w:tcPr>
          <w:p>
            <w:pPr>
              <w:pStyle w:val="16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兼容策略</w:t>
            </w:r>
          </w:p>
        </w:tc>
      </w:tr>
      <w:tr>
        <w:trPr>
          <w:trHeight w:val="0" w:hRule="atLeast"/>
        </w:trPr>
        <w:tc>
          <w:tcPr>
            <w:tcW w:type="dxa" w:w="29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TbSkill</w:t>
            </w:r>
          </w:p>
        </w:tc>
        <w:tc>
          <w:tcPr>
            <w:tcW w:type="dxa" w:w="847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保留技能身份、VisualSet 引用和 CombatProfile 引用；新增 effectGroup／levelGroup 等正式引用</w:t>
            </w:r>
          </w:p>
        </w:tc>
        <w:tc>
          <w:tcPr>
            <w:tcW w:type="dxa" w:w="-314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当前 93 条技能中，大量仅为表现目录；已关联战斗机制的 6 行不强制一次性迁移</w:t>
            </w:r>
          </w:p>
        </w:tc>
      </w:tr>
      <w:tr>
        <w:trPr>
          <w:trHeight w:val="0" w:hRule="atLeast"/>
        </w:trPr>
        <w:tc>
          <w:tcPr>
            <w:tcW w:type="dxa" w:w="29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TbSkillCombat</w:t>
            </w:r>
          </w:p>
        </w:tc>
        <w:tc>
          <w:tcPr>
            <w:tcW w:type="dxa" w:w="847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保留基础间隔、攻击范围和前摇；新增 targetProfile、deliveryProfile 引用</w:t>
            </w:r>
          </w:p>
        </w:tc>
        <w:tc>
          <w:tcPr>
            <w:tcW w:type="dxa" w:w="-314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现有 deliveryType 字段在迁移期继续有效，完成转换后再删除</w:t>
            </w:r>
          </w:p>
        </w:tc>
      </w:tr>
      <w:tr>
        <w:trPr>
          <w:trHeight w:val="0" w:hRule="atLeast"/>
        </w:trPr>
        <w:tc>
          <w:tcPr>
            <w:tcW w:type="dxa" w:w="29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TbUpgradeOption</w:t>
            </w:r>
          </w:p>
        </w:tc>
        <w:tc>
          <w:tcPr>
            <w:tcW w:type="dxa" w:w="847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增加 SkillModifier 类型或引用独立技能修饰表</w:t>
            </w:r>
          </w:p>
        </w:tc>
        <w:tc>
          <w:tcPr>
            <w:tcW w:type="dxa" w:w="-314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现有属性、治疗和技能解锁语义不变</w:t>
            </w:r>
          </w:p>
        </w:tc>
      </w:tr>
      <w:tr>
        <w:trPr>
          <w:trHeight w:val="0" w:hRule="atLeast"/>
        </w:trPr>
        <w:tc>
          <w:tcPr>
            <w:tcW w:type="dxa" w:w="29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TbVisualSet／TbAnimationClip</w:t>
            </w:r>
          </w:p>
        </w:tc>
        <w:tc>
          <w:tcPr>
            <w:tcW w:type="dxa" w:w="847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继续负责表现资源</w:t>
            </w:r>
          </w:p>
        </w:tc>
        <w:tc>
          <w:tcPr>
            <w:tcW w:type="dxa" w:w="-314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只新增明确的事件用途映射，不放战斗规则</w:t>
            </w:r>
          </w:p>
        </w:tc>
      </w:tr>
    </w:tbl>
    <w:p>
      <w:bookmarkStart w:id="16" w:name="_Toc16"/>
      <w:pPr>
        <w:pStyle w:val="4"/>
        <w:numPr>
          <w:ilvl w:val="1"/>
          <w:numId w:val="7"/>
        </w:numPr>
        <w:bidi w:val="0"/>
        <w:spacing w:after="156"/>
        <w:ind w:left="605" w:hanging="425" w:leftChars="0" w:firstLineChars="0"/>
        <w:outlineLvl w:val="1"/>
      </w:pPr>
      <w:r>
        <w:t>6.2 新增表与 Bean</w:t>
      </w:r>
      <w:bookmarkEnd w:id="16"/>
    </w:p>
    <w:tbl>
      <w:tblPr>
        <w:tblStyle w:val="37"/>
        <w:tblW w:type="dxa" w:w="8305"/>
        <w:tblLook w:firstColumn="1" w:firstRow="1" w:lastColumn="0" w:lastRow="0" w:noHBand="0" w:noVBand="1" w:val="04A0"/>
        <w:tblBorders>
          <w:top w:val="single" w:sz="4" w:space="0" w:color="AFCBD0"/>
          <w:left w:val="single" w:sz="4" w:space="0" w:color="AFCBD0"/>
          <w:bottom w:val="single" w:sz="4" w:space="0" w:color="AFCBD0"/>
          <w:right w:val="single" w:sz="4" w:space="0" w:color="AFCBD0"/>
          <w:insideH w:val="single" w:sz="4" w:space="0" w:color="AFCBD0"/>
          <w:insideV w:val="single" w:sz="4" w:space="0" w:color="AFCBD0"/>
        </w:tblBorders>
        <w:tblLayout w:type="autofit"/>
        <w:jc w:val="center"/>
      </w:tblPr>
      <w:tblGrid>
        <w:gridCol w:w="2145"/>
        <w:gridCol w:w="8540"/>
        <w:gridCol w:w="-2380"/>
      </w:tblGrid>
      <w:tr>
        <w:trPr>
          <w:tblHeader w:val="true"/>
          <w:trHeight w:val="0" w:hRule="atLeast"/>
        </w:trPr>
        <w:tc>
          <w:tcPr>
            <w:tcW w:type="dxa" w:w="214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95B4D8"/>
          </w:tcPr>
          <w:p>
            <w:pPr>
              <w:pStyle w:val="16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配置</w:t>
            </w:r>
          </w:p>
        </w:tc>
        <w:tc>
          <w:tcPr>
            <w:tcW w:type="dxa" w:w="85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95B4D8"/>
          </w:tcPr>
          <w:p>
            <w:pPr>
              <w:pStyle w:val="16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关键字段</w:t>
            </w:r>
          </w:p>
        </w:tc>
        <w:tc>
          <w:tcPr>
            <w:tcW w:type="dxa" w:w="-23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95B4D8"/>
          </w:tcPr>
          <w:p>
            <w:pPr>
              <w:pStyle w:val="16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rPr>
          <w:trHeight w:val="0" w:hRule="atLeast"/>
        </w:trPr>
        <w:tc>
          <w:tcPr>
            <w:tcW w:type="dxa" w:w="214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TbSkillTarget</w:t>
            </w:r>
          </w:p>
        </w:tc>
        <w:tc>
          <w:tcPr>
            <w:tcW w:type="dxa" w:w="85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id、faction、selectMode、maxTargets、range、sortRule</w:t>
            </w:r>
          </w:p>
        </w:tc>
        <w:tc>
          <w:tcPr>
            <w:tcW w:type="dxa" w:w="-23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统一自身、最近、随机、最低生命、目标位置等选择规则</w:t>
            </w:r>
          </w:p>
        </w:tc>
      </w:tr>
      <w:tr>
        <w:trPr>
          <w:trHeight w:val="0" w:hRule="atLeast"/>
        </w:trPr>
        <w:tc>
          <w:tcPr>
            <w:tcW w:type="dxa" w:w="214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TbSkillDelivery</w:t>
            </w:r>
          </w:p>
        </w:tc>
        <w:tc>
          <w:tcPr>
            <w:tcW w:type="dxa" w:w="85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id、type、patternId、projectileId、areaId、summonGroupId、beamId</w:t>
            </w:r>
          </w:p>
        </w:tc>
        <w:tc>
          <w:tcPr>
            <w:tcW w:type="dxa" w:w="-23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只做强类型引用分派；不同投递类型只能填写对应引用</w:t>
            </w:r>
          </w:p>
        </w:tc>
      </w:tr>
      <w:tr>
        <w:trPr>
          <w:trHeight w:val="0" w:hRule="atLeast"/>
        </w:trPr>
        <w:tc>
          <w:tcPr>
            <w:tcW w:type="dxa" w:w="214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TbProjectile</w:t>
            </w:r>
          </w:p>
        </w:tc>
        <w:tc>
          <w:tcPr>
            <w:tcW w:type="dxa" w:w="85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id、moveType、speed、lifetime、radius、pierce、hitPolicy、chainProfileId</w:t>
            </w:r>
          </w:p>
        </w:tc>
        <w:tc>
          <w:tcPr>
            <w:tcW w:type="dxa" w:w="-23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定义单个弹体的运动和命中生命周期</w:t>
            </w:r>
          </w:p>
        </w:tc>
      </w:tr>
      <w:tr>
        <w:trPr>
          <w:trHeight w:val="0" w:hRule="atLeast"/>
        </w:trPr>
        <w:tc>
          <w:tcPr>
            <w:tcW w:type="dxa" w:w="214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TbProjectilePattern</w:t>
            </w:r>
          </w:p>
        </w:tc>
        <w:tc>
          <w:tcPr>
            <w:tcW w:type="dxa" w:w="85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id、type、count、batchInterval、angle、columns、rowSpacing、columnSpacing、rotationSpeed</w:t>
            </w:r>
          </w:p>
        </w:tc>
        <w:tc>
          <w:tcPr>
            <w:tcW w:type="dxa" w:w="-23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覆盖 Single、Stream、Fan、MultiLane、Radial、Matrix、CrossRotating</w:t>
            </w:r>
          </w:p>
        </w:tc>
      </w:tr>
      <w:tr>
        <w:trPr>
          <w:trHeight w:val="0" w:hRule="atLeast"/>
        </w:trPr>
        <w:tc>
          <w:tcPr>
            <w:tcW w:type="dxa" w:w="214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TbChainProfile</w:t>
            </w:r>
          </w:p>
        </w:tc>
        <w:tc>
          <w:tcPr>
            <w:tcW w:type="dxa" w:w="85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id、maxBounces、searchRange、repeatTargetRule、damageDecay</w:t>
            </w:r>
          </w:p>
        </w:tc>
        <w:tc>
          <w:tcPr>
            <w:tcW w:type="dxa" w:w="-23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弹射逻辑独立复用</w:t>
            </w:r>
          </w:p>
        </w:tc>
      </w:tr>
      <w:tr>
        <w:trPr>
          <w:trHeight w:val="0" w:hRule="atLeast"/>
        </w:trPr>
        <w:tc>
          <w:tcPr>
            <w:tcW w:type="dxa" w:w="214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TbAreaProfile</w:t>
            </w:r>
          </w:p>
        </w:tc>
        <w:tc>
          <w:tcPr>
            <w:tcW w:type="dxa" w:w="85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id、shape、radius／width／length、duration、tickInterval、maxHitsPerTarget</w:t>
            </w:r>
          </w:p>
        </w:tc>
        <w:tc>
          <w:tcPr>
            <w:tcW w:type="dxa" w:w="-23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同时覆盖瞬时范围与场景持续物</w:t>
            </w:r>
          </w:p>
        </w:tc>
      </w:tr>
      <w:tr>
        <w:trPr>
          <w:trHeight w:val="0" w:hRule="atLeast"/>
        </w:trPr>
        <w:tc>
          <w:tcPr>
            <w:tcW w:type="dxa" w:w="214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TbBeamProfile</w:t>
            </w:r>
          </w:p>
        </w:tc>
        <w:tc>
          <w:tcPr>
            <w:tcW w:type="dxa" w:w="85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id、width、length、duration、tickInterval、piercePolicy</w:t>
            </w:r>
          </w:p>
        </w:tc>
        <w:tc>
          <w:tcPr>
            <w:tcW w:type="dxa" w:w="-23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直线持续技能，不伪装成超高速弹体</w:t>
            </w:r>
          </w:p>
        </w:tc>
      </w:tr>
      <w:tr>
        <w:trPr>
          <w:trHeight w:val="0" w:hRule="atLeast"/>
        </w:trPr>
        <w:tc>
          <w:tcPr>
            <w:tcW w:type="dxa" w:w="214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TbSummonGroup</w:t>
            </w:r>
          </w:p>
        </w:tc>
        <w:tc>
          <w:tcPr>
            <w:tcW w:type="dxa" w:w="85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id、entries</w:t>
            </w:r>
          </w:p>
        </w:tc>
        <w:tc>
          <w:tcPr>
            <w:tcW w:type="dxa" w:w="-23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entries 使用 `SummonEntry` 列表，包含单位引用、数量、阵型和生成间隔</w:t>
            </w:r>
          </w:p>
        </w:tc>
      </w:tr>
      <w:tr>
        <w:trPr>
          <w:trHeight w:val="0" w:hRule="atLeast"/>
        </w:trPr>
        <w:tc>
          <w:tcPr>
            <w:tcW w:type="dxa" w:w="214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TbSkillEffectGroup</w:t>
            </w:r>
          </w:p>
        </w:tc>
        <w:tc>
          <w:tcPr>
            <w:tcW w:type="dxa" w:w="85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id、effectIds</w:t>
            </w:r>
          </w:p>
        </w:tc>
        <w:tc>
          <w:tcPr>
            <w:tcW w:type="dxa" w:w="-23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按表顺序形成稳定效果索引</w:t>
            </w:r>
          </w:p>
        </w:tc>
      </w:tr>
      <w:tr>
        <w:trPr>
          <w:trHeight w:val="0" w:hRule="atLeast"/>
        </w:trPr>
        <w:tc>
          <w:tcPr>
            <w:tcW w:type="dxa" w:w="214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TbSkillEffect</w:t>
            </w:r>
          </w:p>
        </w:tc>
        <w:tc>
          <w:tcPr>
            <w:tcW w:type="dxa" w:w="85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id、type、targetProfileId、payload</w:t>
            </w:r>
          </w:p>
        </w:tc>
        <w:tc>
          <w:tcPr>
            <w:tcW w:type="dxa" w:w="-23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payload 使用 Luban 变体 Bean，避免匿名参数列</w:t>
            </w:r>
          </w:p>
        </w:tc>
      </w:tr>
      <w:tr>
        <w:trPr>
          <w:trHeight w:val="0" w:hRule="atLeast"/>
        </w:trPr>
        <w:tc>
          <w:tcPr>
            <w:tcW w:type="dxa" w:w="214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TbStatus</w:t>
            </w:r>
          </w:p>
        </w:tc>
        <w:tc>
          <w:tcPr>
            <w:tcW w:type="dxa" w:w="85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id、duration、stackRule、maxStacks、refreshRule、periodicEffectGroupId、removeTriggers</w:t>
            </w:r>
          </w:p>
        </w:tc>
        <w:tc>
          <w:tcPr>
            <w:tcW w:type="dxa" w:w="-23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定义 Buff 生命周期和周期效果</w:t>
            </w:r>
          </w:p>
        </w:tc>
      </w:tr>
      <w:tr>
        <w:trPr>
          <w:trHeight w:val="0" w:hRule="atLeast"/>
        </w:trPr>
        <w:tc>
          <w:tcPr>
            <w:tcW w:type="dxa" w:w="214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TbSkillTrigger</w:t>
            </w:r>
          </w:p>
        </w:tc>
        <w:tc>
          <w:tcPr>
            <w:tcW w:type="dxa" w:w="85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id、event、conditionGroupId、chance、internalCooldown、maxPerCast、effectGroupId</w:t>
            </w:r>
          </w:p>
        </w:tc>
        <w:tc>
          <w:tcPr>
            <w:tcW w:type="dxa" w:w="-23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表达命中、受击、击杀、周期和状态事件</w:t>
            </w:r>
          </w:p>
        </w:tc>
      </w:tr>
      <w:tr>
        <w:trPr>
          <w:trHeight w:val="0" w:hRule="atLeast"/>
        </w:trPr>
        <w:tc>
          <w:tcPr>
            <w:tcW w:type="dxa" w:w="214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TbSkillModifier</w:t>
            </w:r>
          </w:p>
        </w:tc>
        <w:tc>
          <w:tcPr>
            <w:tcW w:type="dxa" w:w="85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id、channel、operation、value、filter</w:t>
            </w:r>
          </w:p>
        </w:tc>
        <w:tc>
          <w:tcPr>
            <w:tcW w:type="dxa" w:w="-23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升级项只修改白名单通道，不按字符串反射字段</w:t>
            </w:r>
          </w:p>
        </w:tc>
      </w:tr>
    </w:tbl>
    <w:p>
      <w:pPr/>
      <w:r>
        <w:rPr>
          <w:rFonts w:ascii="微软雅黑" w:hAnsi="微软雅黑" w:eastAsia="微软雅黑"/>
          <w:b w:val="0"/>
          <w:color w:val="333333"/>
          <w:sz w:val="18"/>
        </w:rPr>
        <w:t>所有时间字段使用 `Milli` 后缀并以整数存储，比例使用 `Milli` 或 `Permille` 后缀，距离使用 `Pixels` 后缀。角度统一使用明确的千分度或整数度协议，最终单位在表结构确认时二选一，不允许同一字段族混用。</w:t>
      </w:r>
    </w:p>
    <w:p>
      <w:bookmarkStart w:id="17" w:name="_Toc17"/>
      <w:pPr>
        <w:pStyle w:val="4"/>
        <w:numPr>
          <w:ilvl w:val="1"/>
          <w:numId w:val="7"/>
        </w:numPr>
        <w:bidi w:val="0"/>
        <w:spacing w:after="156"/>
        <w:ind w:left="605" w:hanging="425" w:leftChars="0" w:firstLineChars="0"/>
        <w:outlineLvl w:val="1"/>
      </w:pPr>
      <w:r>
        <w:t>6.3 效果变体</w:t>
      </w:r>
      <w:bookmarkEnd w:id="17"/>
    </w:p>
    <w:tbl>
      <w:tblPr>
        <w:tblStyle w:val="37"/>
        <w:tblW w:type="dxa" w:w="8305"/>
        <w:tblLook w:firstColumn="1" w:firstRow="1" w:lastColumn="0" w:lastRow="0" w:noHBand="0" w:noVBand="1" w:val="04A0"/>
        <w:tblBorders>
          <w:top w:val="single" w:sz="4" w:space="0" w:color="AFCBD0"/>
          <w:left w:val="single" w:sz="4" w:space="0" w:color="AFCBD0"/>
          <w:bottom w:val="single" w:sz="4" w:space="0" w:color="AFCBD0"/>
          <w:right w:val="single" w:sz="4" w:space="0" w:color="AFCBD0"/>
          <w:insideH w:val="single" w:sz="4" w:space="0" w:color="AFCBD0"/>
          <w:insideV w:val="single" w:sz="4" w:space="0" w:color="AFCBD0"/>
        </w:tblBorders>
        <w:tblLayout w:type="autofit"/>
        <w:jc w:val="center"/>
      </w:tblPr>
      <w:tblGrid>
        <w:gridCol w:w="2525"/>
        <w:gridCol w:w="4745"/>
        <w:gridCol w:w="1035"/>
      </w:tblGrid>
      <w:tr>
        <w:trPr>
          <w:tblHeader w:val="true"/>
          <w:trHeight w:val="0" w:hRule="atLeast"/>
        </w:trPr>
        <w:tc>
          <w:tcPr>
            <w:tcW w:type="dxa" w:w="252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95B4D8"/>
          </w:tcPr>
          <w:p>
            <w:pPr>
              <w:pStyle w:val="16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效果变体</w:t>
            </w:r>
          </w:p>
        </w:tc>
        <w:tc>
          <w:tcPr>
            <w:tcW w:type="dxa" w:w="474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95B4D8"/>
          </w:tcPr>
          <w:p>
            <w:pPr>
              <w:pStyle w:val="16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最小字段</w:t>
            </w:r>
          </w:p>
        </w:tc>
        <w:tc>
          <w:tcPr>
            <w:tcW w:type="dxa" w:w="10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95B4D8"/>
          </w:tcPr>
          <w:p>
            <w:pPr>
              <w:pStyle w:val="16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覆盖旧表能力</w:t>
            </w:r>
          </w:p>
        </w:tc>
      </w:tr>
      <w:tr>
        <w:trPr>
          <w:trHeight w:val="0" w:hRule="atLeast"/>
        </w:trPr>
        <w:tc>
          <w:tcPr>
            <w:tcW w:type="dxa" w:w="252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DamageEffect</w:t>
            </w:r>
          </w:p>
        </w:tc>
        <w:tc>
          <w:tcPr>
            <w:tcW w:type="dxa" w:w="474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coefficient、flatValue、damageType、canCrit</w:t>
            </w:r>
          </w:p>
        </w:tc>
        <w:tc>
          <w:tcPr>
            <w:tcW w:type="dxa" w:w="10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直接伤害、技能伤害变化、承伤增加的结算入口</w:t>
            </w:r>
          </w:p>
        </w:tc>
      </w:tr>
      <w:tr>
        <w:trPr>
          <w:trHeight w:val="0" w:hRule="atLeast"/>
        </w:trPr>
        <w:tc>
          <w:tcPr>
            <w:tcW w:type="dxa" w:w="252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HealEffect</w:t>
            </w:r>
          </w:p>
        </w:tc>
        <w:tc>
          <w:tcPr>
            <w:tcW w:type="dxa" w:w="474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coefficient、flatValue、sourceAttribute</w:t>
            </w:r>
          </w:p>
        </w:tc>
        <w:tc>
          <w:tcPr>
            <w:tcW w:type="dxa" w:w="10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直接治疗、墙体治疗</w:t>
            </w:r>
          </w:p>
        </w:tc>
      </w:tr>
      <w:tr>
        <w:trPr>
          <w:trHeight w:val="0" w:hRule="atLeast"/>
        </w:trPr>
        <w:tc>
          <w:tcPr>
            <w:tcW w:type="dxa" w:w="252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AttributeModifierEffect</w:t>
            </w:r>
          </w:p>
        </w:tc>
        <w:tc>
          <w:tcPr>
            <w:tcW w:type="dxa" w:w="474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attributeId、operation、value</w:t>
            </w:r>
          </w:p>
        </w:tc>
        <w:tc>
          <w:tcPr>
            <w:tcW w:type="dxa" w:w="10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攻防速率、技能范围、目标数等显式属性修改</w:t>
            </w:r>
          </w:p>
        </w:tc>
      </w:tr>
      <w:tr>
        <w:trPr>
          <w:trHeight w:val="0" w:hRule="atLeast"/>
        </w:trPr>
        <w:tc>
          <w:tcPr>
            <w:tcW w:type="dxa" w:w="252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DisplacementEffect</w:t>
            </w:r>
          </w:p>
        </w:tc>
        <w:tc>
          <w:tcPr>
            <w:tcW w:type="dxa" w:w="474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directionMode、distance、speed、collisionPolicy</w:t>
            </w:r>
          </w:p>
        </w:tc>
        <w:tc>
          <w:tcPr>
            <w:tcW w:type="dxa" w:w="10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位移</w:t>
            </w:r>
          </w:p>
        </w:tc>
      </w:tr>
      <w:tr>
        <w:trPr>
          <w:trHeight w:val="0" w:hRule="atLeast"/>
        </w:trPr>
        <w:tc>
          <w:tcPr>
            <w:tcW w:type="dxa" w:w="252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ControlEffect</w:t>
            </w:r>
          </w:p>
        </w:tc>
        <w:tc>
          <w:tcPr>
            <w:tcW w:type="dxa" w:w="474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controlType、duration</w:t>
            </w:r>
          </w:p>
        </w:tc>
        <w:tc>
          <w:tcPr>
            <w:tcW w:type="dxa" w:w="10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致盲及后续控制类型</w:t>
            </w:r>
          </w:p>
        </w:tc>
      </w:tr>
      <w:tr>
        <w:trPr>
          <w:trHeight w:val="0" w:hRule="atLeast"/>
        </w:trPr>
        <w:tc>
          <w:tcPr>
            <w:tcW w:type="dxa" w:w="252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ShieldEffect</w:t>
            </w:r>
          </w:p>
        </w:tc>
        <w:tc>
          <w:tcPr>
            <w:tcW w:type="dxa" w:w="474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shieldType、value、duration、consumePolicy</w:t>
            </w:r>
          </w:p>
        </w:tc>
        <w:tc>
          <w:tcPr>
            <w:tcW w:type="dxa" w:w="10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次数盾、数值盾</w:t>
            </w:r>
          </w:p>
        </w:tc>
      </w:tr>
      <w:tr>
        <w:trPr>
          <w:trHeight w:val="0" w:hRule="atLeast"/>
        </w:trPr>
        <w:tc>
          <w:tcPr>
            <w:tcW w:type="dxa" w:w="252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ApplyStatusEffect</w:t>
            </w:r>
          </w:p>
        </w:tc>
        <w:tc>
          <w:tcPr>
            <w:tcW w:type="dxa" w:w="474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statusId、stacks、durationOverride</w:t>
            </w:r>
          </w:p>
        </w:tc>
        <w:tc>
          <w:tcPr>
            <w:tcW w:type="dxa" w:w="10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附加 Buff、持续时间变化</w:t>
            </w:r>
          </w:p>
        </w:tc>
      </w:tr>
      <w:tr>
        <w:trPr>
          <w:trHeight w:val="0" w:hRule="atLeast"/>
        </w:trPr>
        <w:tc>
          <w:tcPr>
            <w:tcW w:type="dxa" w:w="252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SpawnChildSkillEffect</w:t>
            </w:r>
          </w:p>
        </w:tc>
        <w:tc>
          <w:tcPr>
            <w:tcW w:type="dxa" w:w="474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skillId、originMode、inheritanceProfileId</w:t>
            </w:r>
          </w:p>
        </w:tc>
        <w:tc>
          <w:tcPr>
            <w:tcW w:type="dxa" w:w="10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分裂、爆炸、额外释放、命中触发技能</w:t>
            </w:r>
          </w:p>
        </w:tc>
      </w:tr>
      <w:tr>
        <w:trPr>
          <w:trHeight w:val="0" w:hRule="atLeast"/>
        </w:trPr>
        <w:tc>
          <w:tcPr>
            <w:tcW w:type="dxa" w:w="252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SummonEffect</w:t>
            </w:r>
          </w:p>
        </w:tc>
        <w:tc>
          <w:tcPr>
            <w:tcW w:type="dxa" w:w="474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summonGroupId</w:t>
            </w:r>
          </w:p>
        </w:tc>
        <w:tc>
          <w:tcPr>
            <w:tcW w:type="dxa" w:w="10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召唤技能和场景召唤</w:t>
            </w:r>
          </w:p>
        </w:tc>
      </w:tr>
      <w:tr>
        <w:trPr>
          <w:trHeight w:val="0" w:hRule="atLeast"/>
        </w:trPr>
        <w:tc>
          <w:tcPr>
            <w:tcW w:type="dxa" w:w="252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VisualOverrideEffect</w:t>
            </w:r>
          </w:p>
        </w:tc>
        <w:tc>
          <w:tcPr>
            <w:tcW w:type="dxa" w:w="474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visualSetId、duration、restoreRule</w:t>
            </w:r>
          </w:p>
        </w:tc>
        <w:tc>
          <w:tcPr>
            <w:tcW w:type="dxa" w:w="10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受控表现替换；只发事件，不改逻辑资源所有权</w:t>
            </w:r>
          </w:p>
        </w:tc>
      </w:tr>
    </w:tbl>
    <w:p>
      <w:pPr/>
      <w:r>
        <w:rPr>
          <w:rFonts w:ascii="微软雅黑" w:hAnsi="微软雅黑" w:eastAsia="微软雅黑"/>
          <w:b w:val="0"/>
          <w:color w:val="333333"/>
          <w:sz w:val="18"/>
        </w:rPr>
        <w:t>“弹体数量增加、穿透增加、伤害增加、技能范围增加、Buff 效果与持续时间增加”等旧 Buff，不实现为常驻效果类，而是由 `TbSkillModifier` 修改入局后的技能构建参数。这样可以避免一个 Buff 同时改配置对象和运行时对象的双重真相。</w:t>
      </w:r>
    </w:p>
    <w:p>
      <w:bookmarkStart w:id="18" w:name="_Toc18"/>
      <w:pPr>
        <w:pStyle w:val="3"/>
        <w:numPr>
          <w:ilvl w:val="0"/>
          <w:numId w:val="7"/>
        </w:numPr>
        <w:tabs>
          <w:tab w:val="clear" w:pos="720"/>
        </w:tabs>
        <w:bidi w:val="0"/>
        <w:ind w:left="425" w:hanging="425" w:leftChars="0" w:firstLineChars="0"/>
      </w:pPr>
      <w:r>
        <w:t>7 运行时架构</w:t>
      </w:r>
      <w:bookmarkEnd w:id="18"/>
    </w:p>
    <w:p>
      <w:bookmarkStart w:id="19" w:name="_Toc19"/>
      <w:pPr>
        <w:pStyle w:val="4"/>
        <w:numPr>
          <w:ilvl w:val="1"/>
          <w:numId w:val="7"/>
        </w:numPr>
        <w:bidi w:val="0"/>
        <w:spacing w:after="156"/>
        <w:ind w:left="605" w:hanging="425" w:leftChars="0" w:firstLineChars="0"/>
        <w:outlineLvl w:val="1"/>
      </w:pPr>
      <w:r>
        <w:t>7.1 入局编译</w:t>
      </w:r>
      <w:bookmarkEnd w:id="19"/>
    </w:p>
    <w:p>
      <w:pPr/>
      <w:r>
        <w:rPr>
          <w:rFonts w:ascii="微软雅黑" w:hAnsi="微软雅黑" w:eastAsia="微软雅黑"/>
          <w:b w:val="0"/>
          <w:color w:val="333333"/>
          <w:sz w:val="18"/>
        </w:rPr>
        <w:t>`CombatRunDefinition` 在进入关卡时解析所有正式引用并执行跨表校验。新的 `SkillRuntimeCompiler` 把 `TbSkill`、投递器、弹体、效果组、状态和修饰器转换为只读纯值目录，并完成容量预算。</w:t>
      </w:r>
    </w:p>
    <w:p>
      <w:pPr/>
      <w:r>
        <w:rPr>
          <w:rFonts w:ascii="微软雅黑" w:hAnsi="微软雅黑" w:eastAsia="微软雅黑"/>
          <w:b w:val="0"/>
          <w:color w:val="333333"/>
          <w:sz w:val="18"/>
        </w:rPr>
        <w:t>编译结果只包含 blittable 值、固定索引和 Native 容器句柄。固定 Tick 不访问托管 `Tables`，不做字符串查找，不通过资源路径判断类型。</w:t>
      </w:r>
    </w:p>
    <w:p>
      <w:bookmarkStart w:id="20" w:name="_Toc20"/>
      <w:pPr>
        <w:pStyle w:val="4"/>
        <w:numPr>
          <w:ilvl w:val="1"/>
          <w:numId w:val="7"/>
        </w:numPr>
        <w:bidi w:val="0"/>
        <w:spacing w:after="156"/>
        <w:ind w:left="605" w:hanging="425" w:leftChars="0" w:firstLineChars="0"/>
        <w:outlineLvl w:val="1"/>
      </w:pPr>
      <w:r>
        <w:t>7.2 固定 Tick 流程</w:t>
      </w:r>
      <w:bookmarkEnd w:id="20"/>
    </w:p>
    <w:p>
      <w:pPr/>
      <w:r>
        <w:rPr>
          <w:rFonts w:ascii="微软雅黑" w:hAnsi="微软雅黑" w:eastAsia="微软雅黑"/>
          <w:b w:val="0"/>
          <w:color w:val="333333"/>
          <w:sz w:val="18"/>
        </w:rPr>
        <w:t>`Cooldown → TargetQuery → CastRequest → Emitter → Projectile／Area／Beam／Summon → HitRequest → EffectRequest → DeterministicResolve → VisualEvent`</w:t>
      </w:r>
    </w:p>
    <w:p>
      <w:pPr/>
      <w:r>
        <w:rPr>
          <w:rFonts w:ascii="微软雅黑" w:hAnsi="微软雅黑" w:eastAsia="微软雅黑"/>
          <w:b w:val="0"/>
          <w:color w:val="333333"/>
          <w:sz w:val="18"/>
        </w:rPr>
        <w:t>所有效果请求使用稳定排序键：Tick、施法序号、效果组内索引、目标生命周期、来源生命周期。命中枚举顺序、Chunk 顺序和空间哈希遍历顺序不得改变结算结果。</w:t>
      </w:r>
    </w:p>
    <w:p>
      <w:bookmarkStart w:id="21" w:name="_Toc21"/>
      <w:pPr>
        <w:pStyle w:val="4"/>
        <w:numPr>
          <w:ilvl w:val="1"/>
          <w:numId w:val="7"/>
        </w:numPr>
        <w:bidi w:val="0"/>
        <w:spacing w:after="156"/>
        <w:ind w:left="605" w:hanging="425" w:leftChars="0" w:firstLineChars="0"/>
        <w:outlineLvl w:val="1"/>
      </w:pPr>
      <w:r>
        <w:t>7.3 组件与缓冲区</w:t>
      </w:r>
      <w:bookmarkEnd w:id="21"/>
    </w:p>
    <w:tbl>
      <w:tblPr>
        <w:tblStyle w:val="37"/>
        <w:tblW w:type="dxa" w:w="8305"/>
        <w:tblLook w:firstColumn="1" w:firstRow="1" w:lastColumn="0" w:lastRow="0" w:noHBand="0" w:noVBand="1" w:val="04A0"/>
        <w:tblBorders>
          <w:top w:val="single" w:sz="4" w:space="0" w:color="AFCBD0"/>
          <w:left w:val="single" w:sz="4" w:space="0" w:color="AFCBD0"/>
          <w:bottom w:val="single" w:sz="4" w:space="0" w:color="AFCBD0"/>
          <w:right w:val="single" w:sz="4" w:space="0" w:color="AFCBD0"/>
          <w:insideH w:val="single" w:sz="4" w:space="0" w:color="AFCBD0"/>
          <w:insideV w:val="single" w:sz="4" w:space="0" w:color="AFCBD0"/>
        </w:tblBorders>
        <w:tblLayout w:type="autofit"/>
        <w:jc w:val="center"/>
      </w:tblPr>
      <w:tblGrid>
        <w:gridCol w:w="2651"/>
        <w:gridCol w:w="1618"/>
        <w:gridCol w:w="4036"/>
      </w:tblGrid>
      <w:tr>
        <w:trPr>
          <w:tblHeader w:val="true"/>
          <w:trHeight w:val="0" w:hRule="atLeast"/>
        </w:trPr>
        <w:tc>
          <w:tcPr>
            <w:tcW w:type="dxa" w:w="265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95B4D8"/>
          </w:tcPr>
          <w:p>
            <w:pPr>
              <w:pStyle w:val="16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运行时数据</w:t>
            </w:r>
          </w:p>
        </w:tc>
        <w:tc>
          <w:tcPr>
            <w:tcW w:type="dxa" w:w="16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95B4D8"/>
          </w:tcPr>
          <w:p>
            <w:pPr>
              <w:pStyle w:val="16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生命周期</w:t>
            </w:r>
          </w:p>
        </w:tc>
        <w:tc>
          <w:tcPr>
            <w:tcW w:type="dxa" w:w="40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95B4D8"/>
          </w:tcPr>
          <w:p>
            <w:pPr>
              <w:pStyle w:val="16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所有权</w:t>
            </w:r>
          </w:p>
        </w:tc>
      </w:tr>
      <w:tr>
        <w:trPr>
          <w:trHeight w:val="0" w:hRule="atLeast"/>
        </w:trPr>
        <w:tc>
          <w:tcPr>
            <w:tcW w:type="dxa" w:w="265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SkillRuntimeDefinition</w:t>
            </w:r>
          </w:p>
        </w:tc>
        <w:tc>
          <w:tcPr>
            <w:tcW w:type="dxa" w:w="16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单局只读</w:t>
            </w:r>
          </w:p>
        </w:tc>
        <w:tc>
          <w:tcPr>
            <w:tcW w:type="dxa" w:w="40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CombatSession 创建并释放</w:t>
            </w:r>
          </w:p>
        </w:tc>
      </w:tr>
      <w:tr>
        <w:trPr>
          <w:trHeight w:val="0" w:hRule="atLeast"/>
        </w:trPr>
        <w:tc>
          <w:tcPr>
            <w:tcW w:type="dxa" w:w="265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SkillInstanceState</w:t>
            </w:r>
          </w:p>
        </w:tc>
        <w:tc>
          <w:tcPr>
            <w:tcW w:type="dxa" w:w="16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单局／单技能</w:t>
            </w:r>
          </w:p>
        </w:tc>
        <w:tc>
          <w:tcPr>
            <w:tcW w:type="dxa" w:w="40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冷却、等级、临时修饰结果</w:t>
            </w:r>
          </w:p>
        </w:tc>
      </w:tr>
      <w:tr>
        <w:trPr>
          <w:trHeight w:val="0" w:hRule="atLeast"/>
        </w:trPr>
        <w:tc>
          <w:tcPr>
            <w:tcW w:type="dxa" w:w="265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ProjectileState</w:t>
            </w:r>
          </w:p>
        </w:tc>
        <w:tc>
          <w:tcPr>
            <w:tcW w:type="dxa" w:w="16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池化槽</w:t>
            </w:r>
          </w:p>
        </w:tc>
        <w:tc>
          <w:tcPr>
            <w:tcW w:type="dxa" w:w="40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CombatSession 预分配并复用</w:t>
            </w:r>
          </w:p>
        </w:tc>
      </w:tr>
      <w:tr>
        <w:trPr>
          <w:trHeight w:val="0" w:hRule="atLeast"/>
        </w:trPr>
        <w:tc>
          <w:tcPr>
            <w:tcW w:type="dxa" w:w="265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AreaState／BeamState</w:t>
            </w:r>
          </w:p>
        </w:tc>
        <w:tc>
          <w:tcPr>
            <w:tcW w:type="dxa" w:w="16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池化槽</w:t>
            </w:r>
          </w:p>
        </w:tc>
        <w:tc>
          <w:tcPr>
            <w:tcW w:type="dxa" w:w="40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持续时间和每目标命中账本</w:t>
            </w:r>
          </w:p>
        </w:tc>
      </w:tr>
      <w:tr>
        <w:trPr>
          <w:trHeight w:val="0" w:hRule="atLeast"/>
        </w:trPr>
        <w:tc>
          <w:tcPr>
            <w:tcW w:type="dxa" w:w="265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StatusInstance</w:t>
            </w:r>
          </w:p>
        </w:tc>
        <w:tc>
          <w:tcPr>
            <w:tcW w:type="dxa" w:w="16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单位附着</w:t>
            </w:r>
          </w:p>
        </w:tc>
        <w:tc>
          <w:tcPr>
            <w:tcW w:type="dxa" w:w="40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固定容量 DynamicBuffer 或项目等价容器</w:t>
            </w:r>
          </w:p>
        </w:tc>
      </w:tr>
      <w:tr>
        <w:trPr>
          <w:trHeight w:val="0" w:hRule="atLeast"/>
        </w:trPr>
        <w:tc>
          <w:tcPr>
            <w:tcW w:type="dxa" w:w="265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TriggerRuntimeState</w:t>
            </w:r>
          </w:p>
        </w:tc>
        <w:tc>
          <w:tcPr>
            <w:tcW w:type="dxa" w:w="16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单位／技能附着</w:t>
            </w:r>
          </w:p>
        </w:tc>
        <w:tc>
          <w:tcPr>
            <w:tcW w:type="dxa" w:w="40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内置冷却、次数和递归深度</w:t>
            </w:r>
          </w:p>
        </w:tc>
      </w:tr>
      <w:tr>
        <w:trPr>
          <w:trHeight w:val="0" w:hRule="atLeast"/>
        </w:trPr>
        <w:tc>
          <w:tcPr>
            <w:tcW w:type="dxa" w:w="265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EffectRequest</w:t>
            </w:r>
          </w:p>
        </w:tc>
        <w:tc>
          <w:tcPr>
            <w:tcW w:type="dxa" w:w="16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单 Tick</w:t>
            </w:r>
          </w:p>
        </w:tc>
        <w:tc>
          <w:tcPr>
            <w:tcW w:type="dxa" w:w="40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生成、排序、结算后清空</w:t>
            </w:r>
          </w:p>
        </w:tc>
      </w:tr>
      <w:tr>
        <w:trPr>
          <w:trHeight w:val="0" w:hRule="atLeast"/>
        </w:trPr>
        <w:tc>
          <w:tcPr>
            <w:tcW w:type="dxa" w:w="265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VisualEvent</w:t>
            </w:r>
          </w:p>
        </w:tc>
        <w:tc>
          <w:tcPr>
            <w:tcW w:type="dxa" w:w="16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单 Tick</w:t>
            </w:r>
          </w:p>
        </w:tc>
        <w:tc>
          <w:tcPr>
            <w:tcW w:type="dxa" w:w="40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表现层读取后清空</w:t>
            </w:r>
          </w:p>
        </w:tc>
      </w:tr>
    </w:tbl>
    <w:p>
      <w:bookmarkStart w:id="22" w:name="_Toc22"/>
      <w:pPr>
        <w:pStyle w:val="4"/>
        <w:numPr>
          <w:ilvl w:val="1"/>
          <w:numId w:val="7"/>
        </w:numPr>
        <w:bidi w:val="0"/>
        <w:spacing w:after="156"/>
        <w:ind w:left="605" w:hanging="425" w:leftChars="0" w:firstLineChars="0"/>
        <w:outlineLvl w:val="1"/>
      </w:pPr>
      <w:r>
        <w:t>7.4 异常与清场</w:t>
      </w:r>
      <w:bookmarkEnd w:id="22"/>
    </w:p>
    <w:p>
      <w:pPr/>
      <w:r>
        <w:rPr>
          <w:rFonts w:ascii="微软雅黑" w:hAnsi="微软雅黑" w:eastAsia="微软雅黑"/>
          <w:b w:val="0"/>
          <w:color w:val="333333"/>
          <w:sz w:val="18"/>
        </w:rPr>
        <w:t>- 配置引用悬空、类型与字段组合不合法、容量预算溢出时，关卡启动直接失败，不生成默认技能。</w:t>
      </w:r>
    </w:p>
    <w:p>
      <w:pPr/>
      <w:r>
        <w:rPr>
          <w:rFonts w:ascii="微软雅黑" w:hAnsi="微软雅黑" w:eastAsia="微软雅黑"/>
          <w:b w:val="0"/>
          <w:color w:val="333333"/>
          <w:sz w:val="18"/>
        </w:rPr>
        <w:t>- 子技能触发必须配置最大深度、每次施法最大触发数和内部冷却；循环引用在静态校验阶段阻断。</w:t>
      </w:r>
    </w:p>
    <w:p>
      <w:pPr/>
      <w:r>
        <w:rPr>
          <w:rFonts w:ascii="微软雅黑" w:hAnsi="微软雅黑" w:eastAsia="微软雅黑"/>
          <w:b w:val="0"/>
          <w:color w:val="333333"/>
          <w:sz w:val="18"/>
        </w:rPr>
        <w:t>- 投射物、区域、Beam、召唤物和状态全部由 CombatSession 所有；退出、重开、取消初始化或异常时统一释放。</w:t>
      </w:r>
    </w:p>
    <w:p>
      <w:pPr/>
      <w:r>
        <w:rPr>
          <w:rFonts w:ascii="微软雅黑" w:hAnsi="微软雅黑" w:eastAsia="微软雅黑"/>
          <w:b w:val="0"/>
          <w:color w:val="333333"/>
          <w:sz w:val="18"/>
        </w:rPr>
        <w:t>- 表现资源仍由现有资源服务句柄管理；逻辑事件丢失消费者时不得阻塞结算或泄漏句柄。</w:t>
      </w:r>
    </w:p>
    <w:p>
      <w:bookmarkStart w:id="23" w:name="_Toc23"/>
      <w:pPr>
        <w:pStyle w:val="3"/>
        <w:numPr>
          <w:ilvl w:val="0"/>
          <w:numId w:val="7"/>
        </w:numPr>
        <w:tabs>
          <w:tab w:val="clear" w:pos="720"/>
        </w:tabs>
        <w:bidi w:val="0"/>
        <w:ind w:left="425" w:hanging="425" w:leftChars="0" w:firstLineChars="0"/>
      </w:pPr>
      <w:r>
        <w:t>8 兼容与迁移</w:t>
      </w:r>
      <w:bookmarkEnd w:id="23"/>
    </w:p>
    <w:p>
      <w:bookmarkStart w:id="24" w:name="_Toc24"/>
      <w:pPr>
        <w:pStyle w:val="4"/>
        <w:numPr>
          <w:ilvl w:val="1"/>
          <w:numId w:val="7"/>
        </w:numPr>
        <w:bidi w:val="0"/>
        <w:spacing w:after="156"/>
        <w:ind w:left="605" w:hanging="425" w:leftChars="0" w:firstLineChars="0"/>
        <w:outlineLvl w:val="1"/>
      </w:pPr>
      <w:r>
        <w:t>8.1 分阶段实施</w:t>
      </w:r>
      <w:bookmarkEnd w:id="24"/>
    </w:p>
    <w:tbl>
      <w:tblPr>
        <w:tblStyle w:val="37"/>
        <w:tblW w:type="dxa" w:w="8305"/>
        <w:tblLook w:firstColumn="1" w:firstRow="1" w:lastColumn="0" w:lastRow="0" w:noHBand="0" w:noVBand="1" w:val="04A0"/>
        <w:tblBorders>
          <w:top w:val="single" w:sz="4" w:space="0" w:color="AFCBD0"/>
          <w:left w:val="single" w:sz="4" w:space="0" w:color="AFCBD0"/>
          <w:bottom w:val="single" w:sz="4" w:space="0" w:color="AFCBD0"/>
          <w:right w:val="single" w:sz="4" w:space="0" w:color="AFCBD0"/>
          <w:insideH w:val="single" w:sz="4" w:space="0" w:color="AFCBD0"/>
          <w:insideV w:val="single" w:sz="4" w:space="0" w:color="AFCBD0"/>
        </w:tblBorders>
        <w:tblLayout w:type="autofit"/>
        <w:jc w:val="center"/>
      </w:tblPr>
      <w:tblGrid>
        <w:gridCol w:w="1550"/>
        <w:gridCol w:w="7105"/>
        <w:gridCol w:w="1190"/>
        <w:gridCol w:w="-1540"/>
      </w:tblGrid>
      <w:tr>
        <w:trPr>
          <w:tblHeader w:val="true"/>
          <w:trHeight w:val="0" w:hRule="atLeast"/>
        </w:trPr>
        <w:tc>
          <w:tcPr>
            <w:tcW w:type="dxa" w:w="155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95B4D8"/>
          </w:tcPr>
          <w:p>
            <w:pPr>
              <w:pStyle w:val="16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710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95B4D8"/>
          </w:tcPr>
          <w:p>
            <w:pPr>
              <w:pStyle w:val="16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119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95B4D8"/>
          </w:tcPr>
          <w:p>
            <w:pPr>
              <w:pStyle w:val="16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进入条件</w:t>
            </w:r>
          </w:p>
        </w:tc>
        <w:tc>
          <w:tcPr>
            <w:tcW w:type="dxa" w:w="-15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95B4D8"/>
          </w:tcPr>
          <w:p>
            <w:pPr>
              <w:pStyle w:val="16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完成标志</w:t>
            </w:r>
          </w:p>
        </w:tc>
      </w:tr>
      <w:tr>
        <w:trPr>
          <w:trHeight w:val="0" w:hRule="atLeast"/>
        </w:trPr>
        <w:tc>
          <w:tcPr>
            <w:tcW w:type="dxa" w:w="155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A 基础抽象</w:t>
            </w:r>
          </w:p>
        </w:tc>
        <w:tc>
          <w:tcPr>
            <w:tcW w:type="dxa" w:w="710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为现有 Projectile、Melee、TargetArea 建立统一 Cast／Effect 请求，不新增玩法</w:t>
            </w:r>
          </w:p>
        </w:tc>
        <w:tc>
          <w:tcPr>
            <w:tcW w:type="dxa" w:w="119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本方案确认</w:t>
            </w:r>
          </w:p>
        </w:tc>
        <w:tc>
          <w:tcPr>
            <w:tcW w:type="dxa" w:w="-15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现有战斗行为和确定性测试不变</w:t>
            </w:r>
          </w:p>
        </w:tc>
      </w:tr>
      <w:tr>
        <w:trPr>
          <w:trHeight w:val="0" w:hRule="atLeast"/>
        </w:trPr>
        <w:tc>
          <w:tcPr>
            <w:tcW w:type="dxa" w:w="155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B 弹体图案</w:t>
            </w:r>
          </w:p>
        </w:tc>
        <w:tc>
          <w:tcPr>
            <w:tcW w:type="dxa" w:w="710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新增 Stream、Fan／MultiLane、Radial、Matrix、CrossRotating、Chain、Beam</w:t>
            </w:r>
          </w:p>
        </w:tc>
        <w:tc>
          <w:tcPr>
            <w:tcW w:type="dxa" w:w="119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A 通过</w:t>
            </w:r>
          </w:p>
        </w:tc>
        <w:tc>
          <w:tcPr>
            <w:tcW w:type="dxa" w:w="-15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每种图案有表数据、纯逻辑测试和可视回归</w:t>
            </w:r>
          </w:p>
        </w:tc>
      </w:tr>
      <w:tr>
        <w:trPr>
          <w:trHeight w:val="0" w:hRule="atLeast"/>
        </w:trPr>
        <w:tc>
          <w:tcPr>
            <w:tcW w:type="dxa" w:w="155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C 效果与状态</w:t>
            </w:r>
          </w:p>
        </w:tc>
        <w:tc>
          <w:tcPr>
            <w:tcW w:type="dxa" w:w="710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新增强类型 Effect、Status、Trigger、Modifier</w:t>
            </w:r>
          </w:p>
        </w:tc>
        <w:tc>
          <w:tcPr>
            <w:tcW w:type="dxa" w:w="119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B 通过</w:t>
            </w:r>
          </w:p>
        </w:tc>
        <w:tc>
          <w:tcPr>
            <w:tcW w:type="dxa" w:w="-15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伤害、治疗、属性、位移、控制、护盾、子技能闭环</w:t>
            </w:r>
          </w:p>
        </w:tc>
      </w:tr>
      <w:tr>
        <w:trPr>
          <w:trHeight w:val="0" w:hRule="atLeast"/>
        </w:trPr>
        <w:tc>
          <w:tcPr>
            <w:tcW w:type="dxa" w:w="155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D 召唤与场景物</w:t>
            </w:r>
          </w:p>
        </w:tc>
        <w:tc>
          <w:tcPr>
            <w:tcW w:type="dxa" w:w="710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新增 Summon、PersistentArea、SceneSpawner</w:t>
            </w:r>
          </w:p>
        </w:tc>
        <w:tc>
          <w:tcPr>
            <w:tcW w:type="dxa" w:w="119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C 通过</w:t>
            </w:r>
          </w:p>
        </w:tc>
        <w:tc>
          <w:tcPr>
            <w:tcW w:type="dxa" w:w="-15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召唤生命周期、上限、清场和对象池验证通过</w:t>
            </w:r>
          </w:p>
        </w:tc>
      </w:tr>
    </w:tbl>
    <w:p>
      <w:bookmarkStart w:id="25" w:name="_Toc25"/>
      <w:pPr>
        <w:pStyle w:val="4"/>
        <w:numPr>
          <w:ilvl w:val="1"/>
          <w:numId w:val="7"/>
        </w:numPr>
        <w:bidi w:val="0"/>
        <w:spacing w:after="156"/>
        <w:ind w:left="605" w:hanging="425" w:leftChars="0" w:firstLineChars="0"/>
        <w:outlineLvl w:val="1"/>
      </w:pPr>
      <w:r>
        <w:t>8.2 旧数据迁移原则</w:t>
      </w:r>
      <w:bookmarkEnd w:id="25"/>
    </w:p>
    <w:p>
      <w:pPr/>
      <w:r>
        <w:rPr>
          <w:rFonts w:ascii="微软雅黑" w:hAnsi="微软雅黑" w:eastAsia="微软雅黑"/>
          <w:b w:val="0"/>
          <w:color w:val="333333"/>
          <w:sz w:val="18"/>
        </w:rPr>
        <w:t>- 旧 Excel 不进入当前项目的 Luban 输入目录，不直接复制 ID 或参数列。</w:t>
      </w:r>
    </w:p>
    <w:p>
      <w:pPr/>
      <w:r>
        <w:rPr>
          <w:rFonts w:ascii="微软雅黑" w:hAnsi="微软雅黑" w:eastAsia="微软雅黑"/>
          <w:b w:val="0"/>
          <w:color w:val="333333"/>
          <w:sz w:val="18"/>
        </w:rPr>
        <w:t>- 先用能力映射确定目标组件，再由策划逐技能建立新表行。</w:t>
      </w:r>
    </w:p>
    <w:p>
      <w:pPr/>
      <w:r>
        <w:rPr>
          <w:rFonts w:ascii="微软雅黑" w:hAnsi="微软雅黑" w:eastAsia="微软雅黑"/>
          <w:b w:val="0"/>
          <w:color w:val="333333"/>
          <w:sz w:val="18"/>
        </w:rPr>
        <w:t>- 每迁移一类，必须提供“旧表现意图 → 新组合 → 差异说明 → 验收用例”。</w:t>
      </w:r>
    </w:p>
    <w:p>
      <w:pPr/>
      <w:r>
        <w:rPr>
          <w:rFonts w:ascii="微软雅黑" w:hAnsi="微软雅黑" w:eastAsia="微软雅黑"/>
          <w:b w:val="0"/>
          <w:color w:val="333333"/>
          <w:sz w:val="18"/>
        </w:rPr>
        <w:t>- 当前三个正式战斗技能先作为兼容基线，不因新架构改变攻击间隔、范围、速度、碰撞或表现。</w:t>
      </w:r>
    </w:p>
    <w:p>
      <w:bookmarkStart w:id="26" w:name="_Toc26"/>
      <w:pPr>
        <w:pStyle w:val="3"/>
        <w:numPr>
          <w:ilvl w:val="0"/>
          <w:numId w:val="7"/>
        </w:numPr>
        <w:tabs>
          <w:tab w:val="clear" w:pos="720"/>
        </w:tabs>
        <w:bidi w:val="0"/>
        <w:ind w:left="425" w:hanging="425" w:leftChars="0" w:firstLineChars="0"/>
      </w:pPr>
      <w:r>
        <w:t>9 校验与验收标准</w:t>
      </w:r>
      <w:bookmarkEnd w:id="26"/>
    </w:p>
    <w:p>
      <w:bookmarkStart w:id="27" w:name="_Toc27"/>
      <w:pPr>
        <w:pStyle w:val="4"/>
        <w:numPr>
          <w:ilvl w:val="1"/>
          <w:numId w:val="7"/>
        </w:numPr>
        <w:bidi w:val="0"/>
        <w:spacing w:after="156"/>
        <w:ind w:left="605" w:hanging="425" w:leftChars="0" w:firstLineChars="0"/>
        <w:outlineLvl w:val="1"/>
      </w:pPr>
      <w:r>
        <w:t>9.1 静态门禁</w:t>
      </w:r>
      <w:bookmarkEnd w:id="27"/>
    </w:p>
    <w:tbl>
      <w:tblPr>
        <w:tblStyle w:val="37"/>
        <w:tblW w:type="dxa" w:w="8305"/>
        <w:tblLook w:firstColumn="1" w:firstRow="1" w:lastColumn="0" w:lastRow="0" w:noHBand="0" w:noVBand="1" w:val="04A0"/>
        <w:tblBorders>
          <w:top w:val="single" w:sz="4" w:space="0" w:color="AFCBD0"/>
          <w:left w:val="single" w:sz="4" w:space="0" w:color="AFCBD0"/>
          <w:bottom w:val="single" w:sz="4" w:space="0" w:color="AFCBD0"/>
          <w:right w:val="single" w:sz="4" w:space="0" w:color="AFCBD0"/>
          <w:insideH w:val="single" w:sz="4" w:space="0" w:color="AFCBD0"/>
          <w:insideV w:val="single" w:sz="4" w:space="0" w:color="AFCBD0"/>
        </w:tblBorders>
        <w:tblLayout w:type="autofit"/>
        <w:jc w:val="center"/>
      </w:tblPr>
      <w:tblGrid>
        <w:gridCol w:w="1010"/>
        <w:gridCol w:w="7295"/>
      </w:tblGrid>
      <w:tr>
        <w:trPr>
          <w:tblHeader w:val="true"/>
          <w:trHeight w:val="0" w:hRule="atLeast"/>
        </w:trPr>
        <w:tc>
          <w:tcPr>
            <w:tcW w:type="dxa" w:w="101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95B4D8"/>
          </w:tcPr>
          <w:p>
            <w:pPr>
              <w:pStyle w:val="16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门禁</w:t>
            </w:r>
          </w:p>
        </w:tc>
        <w:tc>
          <w:tcPr>
            <w:tcW w:type="dxa" w:w="729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95B4D8"/>
          </w:tcPr>
          <w:p>
            <w:pPr>
              <w:pStyle w:val="16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必须检查</w:t>
            </w:r>
          </w:p>
        </w:tc>
      </w:tr>
      <w:tr>
        <w:trPr>
          <w:trHeight w:val="0" w:hRule="atLeast"/>
        </w:trPr>
        <w:tc>
          <w:tcPr>
            <w:tcW w:type="dxa" w:w="101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Schema</w:t>
            </w:r>
          </w:p>
        </w:tc>
        <w:tc>
          <w:tcPr>
            <w:tcW w:type="dxa" w:w="729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枚举值唯一；变体字段完整；类型与引用组合合法</w:t>
            </w:r>
          </w:p>
        </w:tc>
      </w:tr>
      <w:tr>
        <w:trPr>
          <w:trHeight w:val="0" w:hRule="atLeast"/>
        </w:trPr>
        <w:tc>
          <w:tcPr>
            <w:tcW w:type="dxa" w:w="101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引用</w:t>
            </w:r>
          </w:p>
        </w:tc>
        <w:tc>
          <w:tcPr>
            <w:tcW w:type="dxa" w:w="729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所有技能、投递器、弹体、图案、效果、状态、召唤和表现引用可解析</w:t>
            </w:r>
          </w:p>
        </w:tc>
      </w:tr>
      <w:tr>
        <w:trPr>
          <w:trHeight w:val="0" w:hRule="atLeast"/>
        </w:trPr>
        <w:tc>
          <w:tcPr>
            <w:tcW w:type="dxa" w:w="101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单位</w:t>
            </w:r>
          </w:p>
        </w:tc>
        <w:tc>
          <w:tcPr>
            <w:tcW w:type="dxa" w:w="729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时间、比例、距离、角度字段后缀和取值范围一致</w:t>
            </w:r>
          </w:p>
        </w:tc>
      </w:tr>
      <w:tr>
        <w:trPr>
          <w:trHeight w:val="0" w:hRule="atLeast"/>
        </w:trPr>
        <w:tc>
          <w:tcPr>
            <w:tcW w:type="dxa" w:w="101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图关系</w:t>
            </w:r>
          </w:p>
        </w:tc>
        <w:tc>
          <w:tcPr>
            <w:tcW w:type="dxa" w:w="729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子技能和触发器无无限循环；触发深度与次数上限明确</w:t>
            </w:r>
          </w:p>
        </w:tc>
      </w:tr>
      <w:tr>
        <w:trPr>
          <w:trHeight w:val="0" w:hRule="atLeast"/>
        </w:trPr>
        <w:tc>
          <w:tcPr>
            <w:tcW w:type="dxa" w:w="101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容量</w:t>
            </w:r>
          </w:p>
        </w:tc>
        <w:tc>
          <w:tcPr>
            <w:tcW w:type="dxa" w:w="729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每局最大弹体、区域、Beam、状态、效果请求和召唤物可由配置上界计算</w:t>
            </w:r>
          </w:p>
        </w:tc>
      </w:tr>
      <w:tr>
        <w:trPr>
          <w:trHeight w:val="0" w:hRule="atLeast"/>
        </w:trPr>
        <w:tc>
          <w:tcPr>
            <w:tcW w:type="dxa" w:w="101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数据源</w:t>
            </w:r>
          </w:p>
        </w:tc>
        <w:tc>
          <w:tcPr>
            <w:tcW w:type="dxa" w:w="729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Excel、生成 C#、bytes 指纹一致；代码中无重复业务默认值</w:t>
            </w:r>
          </w:p>
        </w:tc>
      </w:tr>
      <w:tr>
        <w:trPr>
          <w:trHeight w:val="0" w:hRule="atLeast"/>
        </w:trPr>
        <w:tc>
          <w:tcPr>
            <w:tcW w:type="dxa" w:w="101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资源</w:t>
            </w:r>
          </w:p>
        </w:tc>
        <w:tc>
          <w:tcPr>
            <w:tcW w:type="dxa" w:w="729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表现资源由 TbResource 正式登记，包归属与加载 API 一致</w:t>
            </w:r>
          </w:p>
        </w:tc>
      </w:tr>
    </w:tbl>
    <w:p>
      <w:bookmarkStart w:id="28" w:name="_Toc28"/>
      <w:pPr>
        <w:pStyle w:val="4"/>
        <w:numPr>
          <w:ilvl w:val="1"/>
          <w:numId w:val="7"/>
        </w:numPr>
        <w:bidi w:val="0"/>
        <w:spacing w:after="156"/>
        <w:ind w:left="605" w:hanging="425" w:leftChars="0" w:firstLineChars="0"/>
        <w:outlineLvl w:val="1"/>
      </w:pPr>
      <w:r>
        <w:t>9.2 自动化验收</w:t>
      </w:r>
      <w:bookmarkEnd w:id="28"/>
    </w:p>
    <w:p>
      <w:pPr/>
      <w:r>
        <w:rPr>
          <w:rFonts w:ascii="微软雅黑" w:hAnsi="微软雅黑" w:eastAsia="微软雅黑"/>
          <w:b w:val="0"/>
          <w:color w:val="333333"/>
          <w:sz w:val="18"/>
        </w:rPr>
        <w:t>- 每种投递器和发射图案至少一个纯逻辑测试，验证数量、方向、间隔和顺序。</w:t>
      </w:r>
    </w:p>
    <w:p>
      <w:pPr/>
      <w:r>
        <w:rPr>
          <w:rFonts w:ascii="微软雅黑" w:hAnsi="微软雅黑" w:eastAsia="微软雅黑"/>
          <w:b w:val="0"/>
          <w:color w:val="333333"/>
          <w:sz w:val="18"/>
        </w:rPr>
        <w:t>- 固定随机种子和固定输入下，多次运行的伤害、状态、触发与死亡序列一致。</w:t>
      </w:r>
    </w:p>
    <w:p>
      <w:pPr/>
      <w:r>
        <w:rPr>
          <w:rFonts w:ascii="微软雅黑" w:hAnsi="微软雅黑" w:eastAsia="微软雅黑"/>
          <w:b w:val="0"/>
          <w:color w:val="333333"/>
          <w:sz w:val="18"/>
        </w:rPr>
        <w:t>- 穿透、弹射、周期命中和同 Tick 多效果使用稳定全序，不受容器遍历顺序影响。</w:t>
      </w:r>
    </w:p>
    <w:p>
      <w:pPr/>
      <w:r>
        <w:rPr>
          <w:rFonts w:ascii="微软雅黑" w:hAnsi="微软雅黑" w:eastAsia="微软雅黑"/>
          <w:b w:val="0"/>
          <w:color w:val="333333"/>
          <w:sz w:val="18"/>
        </w:rPr>
        <w:t>- 触发循环、容量溢出、非法字段组合、悬空引用和错误资源用途均明确失败。</w:t>
      </w:r>
    </w:p>
    <w:p>
      <w:pPr/>
      <w:r>
        <w:rPr>
          <w:rFonts w:ascii="微软雅黑" w:hAnsi="微软雅黑" w:eastAsia="微软雅黑"/>
          <w:b w:val="0"/>
          <w:color w:val="333333"/>
          <w:sz w:val="18"/>
        </w:rPr>
        <w:t>- 取消、退出、重开和初始化中途失败后，Native 容器、池槽、World 和资源句柄全部释放。</w:t>
      </w:r>
    </w:p>
    <w:p>
      <w:pPr/>
      <w:r>
        <w:rPr>
          <w:rFonts w:ascii="微软雅黑" w:hAnsi="微软雅黑" w:eastAsia="微软雅黑"/>
          <w:b w:val="0"/>
          <w:color w:val="333333"/>
          <w:sz w:val="18"/>
        </w:rPr>
        <w:t>- 当前 Projectile、Melee、TargetArea 回归全部通过，作为零行为漂移基线。</w:t>
      </w:r>
    </w:p>
    <w:p>
      <w:bookmarkStart w:id="29" w:name="_Toc29"/>
      <w:pPr>
        <w:pStyle w:val="4"/>
        <w:numPr>
          <w:ilvl w:val="1"/>
          <w:numId w:val="7"/>
        </w:numPr>
        <w:bidi w:val="0"/>
        <w:spacing w:after="156"/>
        <w:ind w:left="605" w:hanging="425" w:leftChars="0" w:firstLineChars="0"/>
        <w:outlineLvl w:val="1"/>
      </w:pPr>
      <w:r>
        <w:t>9.3 Unity 与人工验收</w:t>
      </w:r>
      <w:bookmarkEnd w:id="29"/>
    </w:p>
    <w:p>
      <w:pPr/>
      <w:r>
        <w:rPr>
          <w:rFonts w:ascii="微软雅黑" w:hAnsi="微软雅黑" w:eastAsia="微软雅黑"/>
          <w:b w:val="0"/>
          <w:color w:val="333333"/>
          <w:sz w:val="18"/>
        </w:rPr>
        <w:t>Unity 空闲后再执行：</w:t>
      </w:r>
    </w:p>
    <w:p>
      <w:pPr/>
      <w:r>
        <w:rPr>
          <w:rFonts w:ascii="微软雅黑" w:hAnsi="微软雅黑" w:eastAsia="微软雅黑"/>
          <w:b w:val="0"/>
          <w:color w:val="333333"/>
          <w:sz w:val="18"/>
        </w:rPr>
        <w:t>1. EditorSimulate 加载技能配置、弹体 Prefab、动画片段和命中特效。</w:t>
      </w:r>
    </w:p>
    <w:p>
      <w:pPr/>
      <w:r>
        <w:rPr>
          <w:rFonts w:ascii="微软雅黑" w:hAnsi="微软雅黑" w:eastAsia="微软雅黑"/>
          <w:b w:val="0"/>
          <w:color w:val="333333"/>
          <w:sz w:val="18"/>
        </w:rPr>
        <w:t>2. 在正式战斗场景验证每类技能的发射数量、角度、轨迹、碰撞、命中频率和表现同步。</w:t>
      </w:r>
    </w:p>
    <w:p>
      <w:pPr/>
      <w:r>
        <w:rPr>
          <w:rFonts w:ascii="微软雅黑" w:hAnsi="微软雅黑" w:eastAsia="微软雅黑"/>
          <w:b w:val="0"/>
          <w:color w:val="333333"/>
          <w:sz w:val="18"/>
        </w:rPr>
        <w:t>3. 验证暂停、升级选择、重开、胜负结算和退出时技能状态正确清理。</w:t>
      </w:r>
    </w:p>
    <w:p>
      <w:pPr/>
      <w:r>
        <w:rPr>
          <w:rFonts w:ascii="微软雅黑" w:hAnsi="微软雅黑" w:eastAsia="微软雅黑"/>
          <w:b w:val="0"/>
          <w:color w:val="333333"/>
          <w:sz w:val="18"/>
        </w:rPr>
        <w:t>4. 由用户使用真实输入完成至少一局人工验收；只有明确反馈“测试通过”或“验收通过”才记录人工门禁通过。</w:t>
      </w:r>
    </w:p>
    <w:p>
      <w:bookmarkStart w:id="30" w:name="_Toc30"/>
      <w:pPr>
        <w:pStyle w:val="3"/>
        <w:numPr>
          <w:ilvl w:val="0"/>
          <w:numId w:val="7"/>
        </w:numPr>
        <w:tabs>
          <w:tab w:val="clear" w:pos="720"/>
        </w:tabs>
        <w:bidi w:val="0"/>
        <w:ind w:left="425" w:hanging="425" w:leftChars="0" w:firstLineChars="0"/>
      </w:pPr>
      <w:r>
        <w:t>10 风险与控制</w:t>
      </w:r>
      <w:bookmarkEnd w:id="30"/>
    </w:p>
    <w:tbl>
      <w:tblPr>
        <w:tblStyle w:val="37"/>
        <w:tblW w:type="dxa" w:w="8305"/>
        <w:tblLook w:firstColumn="1" w:firstRow="1" w:lastColumn="0" w:lastRow="0" w:noHBand="0" w:noVBand="1" w:val="04A0"/>
        <w:tblBorders>
          <w:top w:val="single" w:sz="4" w:space="0" w:color="AFCBD0"/>
          <w:left w:val="single" w:sz="4" w:space="0" w:color="AFCBD0"/>
          <w:bottom w:val="single" w:sz="4" w:space="0" w:color="AFCBD0"/>
          <w:right w:val="single" w:sz="4" w:space="0" w:color="AFCBD0"/>
          <w:insideH w:val="single" w:sz="4" w:space="0" w:color="AFCBD0"/>
          <w:insideV w:val="single" w:sz="4" w:space="0" w:color="AFCBD0"/>
        </w:tblBorders>
        <w:tblLayout w:type="autofit"/>
        <w:jc w:val="center"/>
      </w:tblPr>
      <w:tblGrid>
        <w:gridCol w:w="2890"/>
        <w:gridCol w:w="5415"/>
      </w:tblGrid>
      <w:tr>
        <w:trPr>
          <w:tblHeader w:val="true"/>
          <w:trHeight w:val="0" w:hRule="atLeast"/>
        </w:trPr>
        <w:tc>
          <w:tcPr>
            <w:tcW w:type="dxa" w:w="289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95B4D8"/>
          </w:tcPr>
          <w:p>
            <w:pPr>
              <w:pStyle w:val="16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风险</w:t>
            </w:r>
          </w:p>
        </w:tc>
        <w:tc>
          <w:tcPr>
            <w:tcW w:type="dxa" w:w="541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95B4D8"/>
          </w:tcPr>
          <w:p>
            <w:pPr>
              <w:pStyle w:val="16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控制方案</w:t>
            </w:r>
          </w:p>
        </w:tc>
      </w:tr>
      <w:tr>
        <w:trPr>
          <w:trHeight w:val="0" w:hRule="atLeast"/>
        </w:trPr>
        <w:tc>
          <w:tcPr>
            <w:tcW w:type="dxa" w:w="289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把所有能力塞进一个技能类型枚举</w:t>
            </w:r>
          </w:p>
        </w:tc>
        <w:tc>
          <w:tcPr>
            <w:tcW w:type="dxa" w:w="541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类型只决定职责分派，玩法由组合配置形成</w:t>
            </w:r>
          </w:p>
        </w:tc>
      </w:tr>
      <w:tr>
        <w:trPr>
          <w:trHeight w:val="0" w:hRule="atLeast"/>
        </w:trPr>
        <w:tc>
          <w:tcPr>
            <w:tcW w:type="dxa" w:w="289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大量可空字段使数据不可读</w:t>
            </w:r>
          </w:p>
        </w:tc>
        <w:tc>
          <w:tcPr>
            <w:tcW w:type="dxa" w:w="541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使用独立表和 Luban 变体 Bean，按类型校验对应引用</w:t>
            </w:r>
          </w:p>
        </w:tc>
      </w:tr>
      <w:tr>
        <w:trPr>
          <w:trHeight w:val="0" w:hRule="atLeast"/>
        </w:trPr>
        <w:tc>
          <w:tcPr>
            <w:tcW w:type="dxa" w:w="289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Buff 直接修改配置对象</w:t>
            </w:r>
          </w:p>
        </w:tc>
        <w:tc>
          <w:tcPr>
            <w:tcW w:type="dxa" w:w="541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入局生成 SkillInstanceState，修饰器只改运行时纯值快照</w:t>
            </w:r>
          </w:p>
        </w:tc>
      </w:tr>
      <w:tr>
        <w:trPr>
          <w:trHeight w:val="0" w:hRule="atLeast"/>
        </w:trPr>
        <w:tc>
          <w:tcPr>
            <w:tcW w:type="dxa" w:w="289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触发器互相递归导致爆量</w:t>
            </w:r>
          </w:p>
        </w:tc>
        <w:tc>
          <w:tcPr>
            <w:tcW w:type="dxa" w:w="541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静态环检测、深度上限、每施法上限、内部冷却四重门禁</w:t>
            </w:r>
          </w:p>
        </w:tc>
      </w:tr>
      <w:tr>
        <w:trPr>
          <w:trHeight w:val="0" w:hRule="atLeast"/>
        </w:trPr>
        <w:tc>
          <w:tcPr>
            <w:tcW w:type="dxa" w:w="289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ECS 固定 Tick 中产生托管分配</w:t>
            </w:r>
          </w:p>
        </w:tc>
        <w:tc>
          <w:tcPr>
            <w:tcW w:type="dxa" w:w="541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入局编译、固定容量 Native 容器、事件池化</w:t>
            </w:r>
          </w:p>
        </w:tc>
      </w:tr>
      <w:tr>
        <w:trPr>
          <w:trHeight w:val="0" w:hRule="atLeast"/>
        </w:trPr>
        <w:tc>
          <w:tcPr>
            <w:tcW w:type="dxa" w:w="289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逻辑与表现尺寸脱节</w:t>
            </w:r>
          </w:p>
        </w:tc>
        <w:tc>
          <w:tcPr>
            <w:tcW w:type="dxa" w:w="541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保留 Prefab 导出到 Luban 的现有所有权协议，逻辑只消费生成值</w:t>
            </w:r>
          </w:p>
        </w:tc>
      </w:tr>
      <w:tr>
        <w:trPr>
          <w:trHeight w:val="0" w:hRule="atLeast"/>
        </w:trPr>
        <w:tc>
          <w:tcPr>
            <w:tcW w:type="dxa" w:w="289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一次性迁移破坏现有战斗</w:t>
            </w:r>
          </w:p>
        </w:tc>
        <w:tc>
          <w:tcPr>
            <w:tcW w:type="dxa" w:w="541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9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按 A～D 分期；每期锁定现有三类回归基线</w:t>
            </w:r>
          </w:p>
        </w:tc>
      </w:tr>
    </w:tbl>
    <w:p>
      <w:bookmarkStart w:id="31" w:name="_Toc31"/>
      <w:pPr>
        <w:pStyle w:val="3"/>
        <w:numPr>
          <w:ilvl w:val="0"/>
          <w:numId w:val="7"/>
        </w:numPr>
        <w:tabs>
          <w:tab w:val="clear" w:pos="720"/>
        </w:tabs>
        <w:bidi w:val="0"/>
        <w:ind w:left="425" w:hanging="425" w:leftChars="0" w:firstLineChars="0"/>
      </w:pPr>
      <w:r>
        <w:t>11 决策建议</w:t>
      </w:r>
      <w:bookmarkEnd w:id="31"/>
    </w:p>
    <w:p>
      <w:pPr/>
      <w:r>
        <w:rPr>
          <w:rFonts w:ascii="微软雅黑" w:hAnsi="微软雅黑" w:eastAsia="微软雅黑"/>
          <w:b w:val="0"/>
          <w:color w:val="333333"/>
          <w:sz w:val="18"/>
        </w:rPr>
        <w:t>建议确认以下实施边界后进入数据表阶段：</w:t>
      </w:r>
    </w:p>
    <w:p>
      <w:pPr/>
      <w:r>
        <w:rPr>
          <w:rFonts w:ascii="微软雅黑" w:hAnsi="微软雅黑" w:eastAsia="微软雅黑"/>
          <w:b w:val="0"/>
          <w:color w:val="333333"/>
          <w:sz w:val="18"/>
        </w:rPr>
        <w:t>1. 采用组合式架构，不采用旧表的 11 类大枚举加匿名参数槽。</w:t>
      </w:r>
    </w:p>
    <w:p>
      <w:pPr/>
      <w:r>
        <w:rPr>
          <w:rFonts w:ascii="微软雅黑" w:hAnsi="微软雅黑" w:eastAsia="微软雅黑"/>
          <w:b w:val="0"/>
          <w:color w:val="333333"/>
          <w:sz w:val="18"/>
        </w:rPr>
        <w:t>2. 第一实施批只做 A 基础抽象和 B 弹体图案；Effect／Buff 与召唤放到后续独立批次。</w:t>
      </w:r>
    </w:p>
    <w:p>
      <w:pPr/>
      <w:r>
        <w:rPr>
          <w:rFonts w:ascii="微软雅黑" w:hAnsi="微软雅黑" w:eastAsia="微软雅黑"/>
          <w:b w:val="0"/>
          <w:color w:val="333333"/>
          <w:sz w:val="18"/>
        </w:rPr>
        <w:t>3. 当前三类技能数据零行为漂移，任何字段迁移都必须由测试证明等价。</w:t>
      </w:r>
    </w:p>
    <w:p>
      <w:pPr/>
      <w:r>
        <w:rPr>
          <w:rFonts w:ascii="微软雅黑" w:hAnsi="微软雅黑" w:eastAsia="微软雅黑"/>
          <w:b w:val="0"/>
          <w:color w:val="333333"/>
          <w:sz w:val="18"/>
        </w:rPr>
        <w:t>4. 新功能数值由策划在表结构确认后提供；当前文档不预填概率、伤害、距离或持续时间。</w:t>
      </w:r>
    </w:p>
    <w:p>
      <w:pPr/>
      <w:r>
        <w:rPr>
          <w:rFonts w:ascii="微软雅黑" w:hAnsi="微软雅黑" w:eastAsia="微软雅黑"/>
          <w:b w:val="0"/>
          <w:color w:val="333333"/>
          <w:sz w:val="18"/>
        </w:rPr>
        <w:t>5. 方案确认后才创建或修改 Excel，并把源表、Luban 生成代码和 bytes 作为同一交付单元。</w:t>
      </w:r>
    </w:p>
    <w:sectPr>
      <w:headerReference r:id="rId5" w:type="default"/>
      <w:footerReference r:id="rId6" w:type="default"/>
      <w:pgSz w:w="11906" w:h="16838"/>
      <w:pgMar w:top="1440" w:right="1800" w:bottom="1440" w:left="1800" w:header="504" w:footer="50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360"/>
      </w:pPr>
      <w:r>
        <w:separator/>
      </w:r>
    </w:p>
  </w:endnote>
  <w:endnote w:type="continuationSeparator" w:id="1">
    <w:p>
      <w:pPr>
        <w:spacing w:line="240" w:lineRule="auto"/>
        <w:ind w:firstLine="3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方正粗黑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微软雅黑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微软雅黑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Ђˎ̥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ＭＳ 明朝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BB16B6">
    <w:pPr>
      <w:pStyle w:val="27"/>
      <w:jc w:val="center"/>
    </w:pPr>
    <w:r/>
    <w:r>
      <w:rPr>
        <w:rFonts w:ascii="微软雅黑" w:hAnsi="微软雅黑" w:eastAsia="微软雅黑"/>
        <w:b w:val="0"/>
        <w:color w:val="23717D"/>
        <w:sz w:val="16"/>
      </w:rPr>
      <w:t xml:space="preserve">技能类型与效果系统  |  V1.0  |  第 </w:t>
    </w:r>
    <w:r>
      <w:fldChar w:fldCharType="begin"/>
      <w:instrText xml:space="preserve">PAGE</w:instrText>
      <w:fldChar w:fldCharType="separate"/>
      <w:fldChar w:fldCharType="end"/>
    </w:r>
    <w:r>
      <w:rPr>
        <w:rFonts w:ascii="微软雅黑" w:hAnsi="微软雅黑" w:eastAsia="微软雅黑"/>
        <w:b w:val="0"/>
        <w:color w:val="23717D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  <w:ind w:firstLine="360"/>
      </w:pPr>
      <w:r>
        <w:separator/>
      </w:r>
    </w:p>
  </w:footnote>
  <w:footnote w:type="continuationSeparator" w:id="1">
    <w:p>
      <w:pPr>
        <w:spacing w:before="0" w:after="0" w:line="240" w:lineRule="auto"/>
        <w:ind w:firstLine="3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2582CB">
    <w:pPr>
      <w:pStyle w:val="28"/>
      <w:jc w:val="right"/>
    </w:pPr>
    <w:r/>
    <w:r>
      <w:rPr>
        <w:rFonts w:ascii="微软雅黑" w:hAnsi="微软雅黑" w:eastAsia="微软雅黑"/>
        <w:b w:val="0"/>
        <w:color w:val="23717D"/>
        <w:sz w:val="16"/>
      </w:rPr>
      <w:t>氪金模拟器 · 系统策划文档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582C4F"/>
    <w:multiLevelType w:val="singleLevel"/>
    <w:tmpl w:val="DB582C4F"/>
    <w:lvl w:ilvl="0" w:tentative="0">
      <w:start w:val="1"/>
      <w:numFmt w:val="bullet"/>
      <w:pStyle w:val="17"/>
      <w:lvlText w:val=""/>
      <w:lvlJc w:val="left"/>
      <w:pPr>
        <w:tabs>
          <w:tab w:val="left" w:pos="23"/>
        </w:tabs>
        <w:ind w:left="900" w:hanging="360"/>
      </w:pPr>
      <w:rPr>
        <w:rFonts w:hint="default" w:ascii="Symbol" w:hAnsi="Symbol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482D7BCC"/>
    <w:multiLevelType w:val="multilevel"/>
    <w:tmpl w:val="482D7BC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suff w:val="space"/>
      <w:lvlText w:val="%1.%2."/>
      <w:lvlJc w:val="left"/>
      <w:pPr>
        <w:ind w:left="585" w:leftChars="0" w:hanging="225" w:firstLineChars="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7">
    <w:nsid w:val="70E3BD9B"/>
    <w:multiLevelType w:val="singleLevel"/>
    <w:tmpl w:val="70E3BD9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78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3"/>
  </w:num>
  <w:num w:numId="5">
    <w:abstractNumId w:val="1"/>
  </w:num>
  <w:num w:numId="6">
    <w:abstractNumId w:val="4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D60F4"/>
    <w:rsid w:val="0015074B"/>
    <w:rsid w:val="0029639D"/>
    <w:rsid w:val="00326F90"/>
    <w:rsid w:val="00621C19"/>
    <w:rsid w:val="00AA1D8D"/>
    <w:rsid w:val="00B47730"/>
    <w:rsid w:val="00CB0664"/>
    <w:rsid w:val="00D70859"/>
    <w:rsid w:val="00FC693F"/>
    <w:rsid w:val="02AE55E9"/>
    <w:rsid w:val="031F0BE5"/>
    <w:rsid w:val="034164C5"/>
    <w:rsid w:val="03771E7F"/>
    <w:rsid w:val="03E93209"/>
    <w:rsid w:val="04294F27"/>
    <w:rsid w:val="046C1E3F"/>
    <w:rsid w:val="061B4D44"/>
    <w:rsid w:val="070B300A"/>
    <w:rsid w:val="074D2EA9"/>
    <w:rsid w:val="0A053D41"/>
    <w:rsid w:val="0A6A3F8F"/>
    <w:rsid w:val="0CD468F7"/>
    <w:rsid w:val="0D333DBB"/>
    <w:rsid w:val="0D7161F6"/>
    <w:rsid w:val="0D9F625A"/>
    <w:rsid w:val="0E3909FF"/>
    <w:rsid w:val="0EA11355"/>
    <w:rsid w:val="0EF07157"/>
    <w:rsid w:val="0F1F3AF7"/>
    <w:rsid w:val="0F3C1CFE"/>
    <w:rsid w:val="0FCB3DF0"/>
    <w:rsid w:val="108C5C64"/>
    <w:rsid w:val="10D17073"/>
    <w:rsid w:val="11347E65"/>
    <w:rsid w:val="11D96D2F"/>
    <w:rsid w:val="120E7745"/>
    <w:rsid w:val="14BB1F5D"/>
    <w:rsid w:val="156D6141"/>
    <w:rsid w:val="16655D64"/>
    <w:rsid w:val="16816E45"/>
    <w:rsid w:val="16C15797"/>
    <w:rsid w:val="16D87B29"/>
    <w:rsid w:val="16DB068B"/>
    <w:rsid w:val="16DB3BE2"/>
    <w:rsid w:val="17521B29"/>
    <w:rsid w:val="17706429"/>
    <w:rsid w:val="17A0154D"/>
    <w:rsid w:val="17B31280"/>
    <w:rsid w:val="183B7F93"/>
    <w:rsid w:val="184B14B9"/>
    <w:rsid w:val="185537EF"/>
    <w:rsid w:val="18A54F7E"/>
    <w:rsid w:val="18CC437C"/>
    <w:rsid w:val="19214CDE"/>
    <w:rsid w:val="19AF2F90"/>
    <w:rsid w:val="1A2D1F6D"/>
    <w:rsid w:val="1AB217D3"/>
    <w:rsid w:val="1BE834C2"/>
    <w:rsid w:val="1C1F5136"/>
    <w:rsid w:val="1EE95BB7"/>
    <w:rsid w:val="1F046A99"/>
    <w:rsid w:val="20380B7A"/>
    <w:rsid w:val="2049398E"/>
    <w:rsid w:val="21657C15"/>
    <w:rsid w:val="21A165ED"/>
    <w:rsid w:val="21C05A44"/>
    <w:rsid w:val="222A0391"/>
    <w:rsid w:val="222F59A7"/>
    <w:rsid w:val="22462CF1"/>
    <w:rsid w:val="2355143D"/>
    <w:rsid w:val="23827D58"/>
    <w:rsid w:val="23943321"/>
    <w:rsid w:val="24D42DE8"/>
    <w:rsid w:val="24EE1B49"/>
    <w:rsid w:val="251175E6"/>
    <w:rsid w:val="25FA3CE9"/>
    <w:rsid w:val="266F2816"/>
    <w:rsid w:val="268B161A"/>
    <w:rsid w:val="27037402"/>
    <w:rsid w:val="270A4F6A"/>
    <w:rsid w:val="27A209C9"/>
    <w:rsid w:val="27CB4A96"/>
    <w:rsid w:val="28013942"/>
    <w:rsid w:val="29AB625B"/>
    <w:rsid w:val="29B551D6"/>
    <w:rsid w:val="29CC4423"/>
    <w:rsid w:val="29E13BDA"/>
    <w:rsid w:val="2A16155F"/>
    <w:rsid w:val="2A1D34C9"/>
    <w:rsid w:val="2A1F27A5"/>
    <w:rsid w:val="2A64465C"/>
    <w:rsid w:val="2B0D4CF3"/>
    <w:rsid w:val="2BB30A2F"/>
    <w:rsid w:val="2D0D2D89"/>
    <w:rsid w:val="2DC07277"/>
    <w:rsid w:val="2E923F1F"/>
    <w:rsid w:val="2EB53024"/>
    <w:rsid w:val="2F277F0A"/>
    <w:rsid w:val="2FB13E9F"/>
    <w:rsid w:val="30004E27"/>
    <w:rsid w:val="30711FD2"/>
    <w:rsid w:val="30782C0F"/>
    <w:rsid w:val="31BC6B2B"/>
    <w:rsid w:val="32C26F97"/>
    <w:rsid w:val="33AC35A2"/>
    <w:rsid w:val="33B43F5E"/>
    <w:rsid w:val="33C06DA7"/>
    <w:rsid w:val="340824FC"/>
    <w:rsid w:val="347E631A"/>
    <w:rsid w:val="34D44803"/>
    <w:rsid w:val="35325A82"/>
    <w:rsid w:val="364957C0"/>
    <w:rsid w:val="369B5CD3"/>
    <w:rsid w:val="37C329C2"/>
    <w:rsid w:val="387B329C"/>
    <w:rsid w:val="39A36BA3"/>
    <w:rsid w:val="39A71D17"/>
    <w:rsid w:val="3A302C09"/>
    <w:rsid w:val="3B003F2D"/>
    <w:rsid w:val="3BB15227"/>
    <w:rsid w:val="3BD9707D"/>
    <w:rsid w:val="3C074E47"/>
    <w:rsid w:val="3D3B3F7D"/>
    <w:rsid w:val="3D6F788E"/>
    <w:rsid w:val="3D850407"/>
    <w:rsid w:val="3D883A0B"/>
    <w:rsid w:val="3DF00289"/>
    <w:rsid w:val="3DF22E67"/>
    <w:rsid w:val="3E46434D"/>
    <w:rsid w:val="3E657D2A"/>
    <w:rsid w:val="3ECD05CA"/>
    <w:rsid w:val="3F665914"/>
    <w:rsid w:val="3FF35E0E"/>
    <w:rsid w:val="4019602A"/>
    <w:rsid w:val="407D0E43"/>
    <w:rsid w:val="41012771"/>
    <w:rsid w:val="41887BFD"/>
    <w:rsid w:val="423529C0"/>
    <w:rsid w:val="427F7E2D"/>
    <w:rsid w:val="428C60A6"/>
    <w:rsid w:val="42982C9D"/>
    <w:rsid w:val="42A7145A"/>
    <w:rsid w:val="43EA2ABB"/>
    <w:rsid w:val="44DA0ED2"/>
    <w:rsid w:val="44DE1B08"/>
    <w:rsid w:val="44FA12F2"/>
    <w:rsid w:val="45F67D71"/>
    <w:rsid w:val="46BF6A4A"/>
    <w:rsid w:val="475228EC"/>
    <w:rsid w:val="47FC157C"/>
    <w:rsid w:val="47FD3CCE"/>
    <w:rsid w:val="4B337A07"/>
    <w:rsid w:val="4CDF7E46"/>
    <w:rsid w:val="4D0E24D9"/>
    <w:rsid w:val="4E057AF3"/>
    <w:rsid w:val="4EDF05A8"/>
    <w:rsid w:val="4FBA06F6"/>
    <w:rsid w:val="4FD86F9E"/>
    <w:rsid w:val="50AC6291"/>
    <w:rsid w:val="50B43398"/>
    <w:rsid w:val="51905BB3"/>
    <w:rsid w:val="526D7CA2"/>
    <w:rsid w:val="52900663"/>
    <w:rsid w:val="53E051BF"/>
    <w:rsid w:val="53EA467D"/>
    <w:rsid w:val="545D78A2"/>
    <w:rsid w:val="554747DA"/>
    <w:rsid w:val="56DB436E"/>
    <w:rsid w:val="57147097"/>
    <w:rsid w:val="577B4C0F"/>
    <w:rsid w:val="57AC50AC"/>
    <w:rsid w:val="59213594"/>
    <w:rsid w:val="59D81758"/>
    <w:rsid w:val="5AA12BDF"/>
    <w:rsid w:val="5B6B4F9B"/>
    <w:rsid w:val="5B70435F"/>
    <w:rsid w:val="5B7B51DE"/>
    <w:rsid w:val="5BA11EA0"/>
    <w:rsid w:val="5C050881"/>
    <w:rsid w:val="5C1D6295"/>
    <w:rsid w:val="5C69772C"/>
    <w:rsid w:val="5C9F4EFC"/>
    <w:rsid w:val="5CDA2B05"/>
    <w:rsid w:val="5E6E102A"/>
    <w:rsid w:val="5F3B27EB"/>
    <w:rsid w:val="5F5C5326"/>
    <w:rsid w:val="5FF57D58"/>
    <w:rsid w:val="632413C3"/>
    <w:rsid w:val="64487C27"/>
    <w:rsid w:val="646D3B32"/>
    <w:rsid w:val="64801AB7"/>
    <w:rsid w:val="64BD6D2C"/>
    <w:rsid w:val="65420B1A"/>
    <w:rsid w:val="66BC2B4E"/>
    <w:rsid w:val="67220AB6"/>
    <w:rsid w:val="67580891"/>
    <w:rsid w:val="67E265E5"/>
    <w:rsid w:val="69166546"/>
    <w:rsid w:val="696E2110"/>
    <w:rsid w:val="699F5C40"/>
    <w:rsid w:val="69F05BB7"/>
    <w:rsid w:val="6A24611A"/>
    <w:rsid w:val="6A6A5B9E"/>
    <w:rsid w:val="6B9143EA"/>
    <w:rsid w:val="6BDF70C3"/>
    <w:rsid w:val="6C354F35"/>
    <w:rsid w:val="6D1C57E2"/>
    <w:rsid w:val="6DEA0FF9"/>
    <w:rsid w:val="6DED0C6F"/>
    <w:rsid w:val="6E5904CE"/>
    <w:rsid w:val="6E9946E1"/>
    <w:rsid w:val="6F215C44"/>
    <w:rsid w:val="6FBC5660"/>
    <w:rsid w:val="71B66B18"/>
    <w:rsid w:val="721C6777"/>
    <w:rsid w:val="729D3834"/>
    <w:rsid w:val="733E6DC5"/>
    <w:rsid w:val="73591E51"/>
    <w:rsid w:val="736E6F7E"/>
    <w:rsid w:val="7398398D"/>
    <w:rsid w:val="73F6144E"/>
    <w:rsid w:val="752B3379"/>
    <w:rsid w:val="76870A83"/>
    <w:rsid w:val="76CC0B8C"/>
    <w:rsid w:val="76FE0619"/>
    <w:rsid w:val="77274014"/>
    <w:rsid w:val="787C3EEC"/>
    <w:rsid w:val="799E072D"/>
    <w:rsid w:val="7AAE2957"/>
    <w:rsid w:val="7D657644"/>
    <w:rsid w:val="7DAB14FB"/>
    <w:rsid w:val="7E464D80"/>
    <w:rsid w:val="7F7917B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微软雅黑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qFormat="1"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50" w:afterLines="50" w:line="330" w:lineRule="atLeast"/>
      <w:ind w:firstLine="200" w:firstLineChars="200"/>
    </w:pPr>
    <w:rPr>
      <w:rFonts w:ascii="微软雅黑" w:hAnsi="微软雅黑" w:eastAsia="微软雅黑" w:cs="微软雅黑"/>
      <w:color w:val="333333"/>
      <w:kern w:val="0"/>
      <w:sz w:val="18"/>
      <w:szCs w:val="18"/>
      <w:u w:color="000000"/>
      <w:lang w:val="en-US" w:eastAsia="zh-CN" w:bidi="ar-SA"/>
    </w:rPr>
  </w:style>
  <w:style w:type="paragraph" w:styleId="3">
    <w:name w:val="heading 1"/>
    <w:next w:val="1"/>
    <w:link w:val="147"/>
    <w:qFormat/>
    <w:uiPriority w:val="0"/>
    <w:pPr>
      <w:numPr>
        <w:ilvl w:val="0"/>
        <w:numId w:val="1"/>
      </w:numPr>
      <w:tabs>
        <w:tab w:val="left" w:pos="567"/>
      </w:tabs>
      <w:spacing w:after="156"/>
      <w:outlineLvl w:val="0"/>
    </w:pPr>
    <w:rPr>
      <w:rFonts w:ascii="微软雅黑" w:hAnsi="微软雅黑" w:eastAsia="微软雅黑" w:cs="微软雅黑"/>
      <w:b/>
      <w:color w:val="1F497D" w:themeColor="text2"/>
      <w:kern w:val="0"/>
      <w:sz w:val="32"/>
      <w:szCs w:val="32"/>
      <w:u w:color="000000"/>
      <w:lang w:val="en-US" w:eastAsia="zh-CN" w:bidi="ar-SA"/>
      <w14:textFill>
        <w14:solidFill>
          <w14:schemeClr w14:val="tx2"/>
        </w14:solidFill>
      </w14:textFill>
    </w:rPr>
  </w:style>
  <w:style w:type="paragraph" w:styleId="4">
    <w:name w:val="heading 2"/>
    <w:basedOn w:val="3"/>
    <w:next w:val="1"/>
    <w:link w:val="187"/>
    <w:qFormat/>
    <w:uiPriority w:val="0"/>
    <w:pPr>
      <w:numPr>
        <w:ilvl w:val="1"/>
      </w:num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  <w:tab w:val="clear" w:pos="567"/>
        <w:tab w:val="clear" w:pos="720"/>
      </w:tabs>
      <w:spacing w:after="50"/>
      <w:ind w:left="0" w:firstLine="0"/>
      <w:outlineLvl w:val="1"/>
    </w:pPr>
    <w:rPr>
      <w:color w:val="558ED5" w:themeColor="text2" w:themeTint="99"/>
      <w:sz w:val="28"/>
      <w:szCs w:val="28"/>
      <w14:textFill>
        <w14:solidFill>
          <w14:schemeClr w14:val="tx2">
            <w14:lumMod w14:val="60000"/>
            <w14:lumOff w14:val="40000"/>
          </w14:schemeClr>
        </w14:solidFill>
      </w14:textFill>
    </w:rPr>
  </w:style>
  <w:style w:type="paragraph" w:styleId="5">
    <w:name w:val="heading 3"/>
    <w:basedOn w:val="1"/>
    <w:next w:val="1"/>
    <w:unhideWhenUsed/>
    <w:qFormat/>
    <w:uiPriority w:val="0"/>
    <w:pPr>
      <w:numPr>
        <w:ilvl w:val="2"/>
        <w:numId w:val="1"/>
      </w:numPr>
      <w:tabs>
        <w:tab w:val="left" w:pos="720"/>
      </w:tabs>
      <w:ind w:left="0" w:firstLine="0"/>
      <w:outlineLvl w:val="2"/>
    </w:pPr>
    <w:rPr>
      <w:b/>
      <w:color w:val="auto"/>
      <w:sz w:val="21"/>
      <w:szCs w:val="21"/>
    </w:rPr>
  </w:style>
  <w:style w:type="paragraph" w:styleId="6">
    <w:name w:val="heading 4"/>
    <w:basedOn w:val="1"/>
    <w:next w:val="1"/>
    <w:link w:val="163"/>
    <w:unhideWhenUsed/>
    <w:qFormat/>
    <w:uiPriority w:val="0"/>
    <w:pPr>
      <w:numPr>
        <w:ilvl w:val="3"/>
        <w:numId w:val="1"/>
      </w:numPr>
      <w:tabs>
        <w:tab w:val="left" w:pos="720"/>
      </w:tabs>
      <w:spacing w:after="156"/>
      <w:outlineLvl w:val="3"/>
    </w:pPr>
    <w:rPr>
      <w:rFonts w:hAnsiTheme="majorHAnsi" w:cstheme="majorBidi"/>
      <w:b/>
      <w:bCs/>
      <w:szCs w:val="28"/>
    </w:rPr>
  </w:style>
  <w:style w:type="paragraph" w:styleId="7">
    <w:name w:val="heading 5"/>
    <w:basedOn w:val="1"/>
    <w:next w:val="1"/>
    <w:unhideWhenUsed/>
    <w:qFormat/>
    <w:uiPriority w:val="0"/>
    <w:pPr>
      <w:numPr>
        <w:ilvl w:val="4"/>
        <w:numId w:val="1"/>
      </w:numPr>
      <w:tabs>
        <w:tab w:val="left" w:pos="720"/>
      </w:tabs>
      <w:spacing w:after="156" w:line="376" w:lineRule="atLeast"/>
      <w:outlineLvl w:val="4"/>
    </w:pPr>
    <w:rPr>
      <w:bCs/>
      <w:szCs w:val="28"/>
    </w:rPr>
  </w:style>
  <w:style w:type="paragraph" w:styleId="8">
    <w:name w:val="heading 6"/>
    <w:basedOn w:val="1"/>
    <w:next w:val="1"/>
    <w:link w:val="179"/>
    <w:unhideWhenUsed/>
    <w:qFormat/>
    <w:uiPriority w:val="0"/>
    <w:pPr>
      <w:numPr>
        <w:ilvl w:val="5"/>
        <w:numId w:val="1"/>
      </w:numPr>
      <w:tabs>
        <w:tab w:val="left" w:pos="720"/>
      </w:tabs>
      <w:spacing w:after="156" w:line="320" w:lineRule="atLeast"/>
      <w:outlineLvl w:val="5"/>
    </w:pPr>
    <w:rPr>
      <w:rFonts w:asciiTheme="majorHAnsi" w:hAnsiTheme="majorHAnsi" w:eastAsiaTheme="majorEastAsia" w:cstheme="majorBidi"/>
      <w:bCs/>
    </w:rPr>
  </w:style>
  <w:style w:type="paragraph" w:styleId="9">
    <w:name w:val="heading 7"/>
    <w:basedOn w:val="1"/>
    <w:next w:val="1"/>
    <w:link w:val="173"/>
    <w:unhideWhenUsed/>
    <w:qFormat/>
    <w:uiPriority w:val="0"/>
    <w:pPr>
      <w:numPr>
        <w:ilvl w:val="6"/>
        <w:numId w:val="1"/>
      </w:numPr>
      <w:tabs>
        <w:tab w:val="left" w:pos="720"/>
      </w:tabs>
      <w:spacing w:after="156" w:line="320" w:lineRule="atLeast"/>
      <w:outlineLvl w:val="6"/>
    </w:pPr>
    <w:rPr>
      <w:bCs/>
    </w:rPr>
  </w:style>
  <w:style w:type="paragraph" w:styleId="10">
    <w:name w:val="heading 8"/>
    <w:basedOn w:val="1"/>
    <w:next w:val="1"/>
    <w:link w:val="16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7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7">
    <w:name w:val="Default Paragraph Font"/>
    <w:semiHidden/>
    <w:unhideWhenUsed/>
    <w:qFormat/>
    <w:uiPriority w:val="1"/>
  </w:style>
  <w:style w:type="table" w:default="1" w:styleId="3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82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toc 7"/>
    <w:basedOn w:val="1"/>
    <w:next w:val="1"/>
    <w:autoRedefine/>
    <w:semiHidden/>
    <w:unhideWhenUsed/>
    <w:qFormat/>
    <w:uiPriority w:val="39"/>
    <w:pPr>
      <w:ind w:left="2520" w:leftChars="1200"/>
    </w:pPr>
  </w:style>
  <w:style w:type="paragraph" w:styleId="14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5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6">
    <w:name w:val="caption"/>
    <w:basedOn w:val="1"/>
    <w:next w:val="1"/>
    <w:link w:val="148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List Bullet"/>
    <w:basedOn w:val="1"/>
    <w:unhideWhenUsed/>
    <w:qFormat/>
    <w:uiPriority w:val="99"/>
    <w:pPr>
      <w:numPr>
        <w:ilvl w:val="0"/>
        <w:numId w:val="3"/>
      </w:numPr>
      <w:tabs>
        <w:tab w:val="left" w:pos="57"/>
        <w:tab w:val="left" w:pos="360"/>
      </w:tabs>
      <w:ind w:firstLineChars="0"/>
      <w:contextualSpacing/>
    </w:pPr>
  </w:style>
  <w:style w:type="paragraph" w:styleId="18">
    <w:name w:val="Body Text 3"/>
    <w:basedOn w:val="1"/>
    <w:link w:val="154"/>
    <w:unhideWhenUsed/>
    <w:qFormat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49"/>
    <w:unhideWhenUsed/>
    <w:qFormat/>
    <w:uiPriority w:val="99"/>
    <w:pPr>
      <w:spacing w:after="120"/>
    </w:pPr>
  </w:style>
  <w:style w:type="paragraph" w:styleId="21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5">
    <w:name w:val="toc 3"/>
    <w:basedOn w:val="1"/>
    <w:next w:val="1"/>
    <w:autoRedefine/>
    <w:unhideWhenUsed/>
    <w:qFormat/>
    <w:uiPriority w:val="39"/>
    <w:pPr>
      <w:ind w:left="840" w:leftChars="400"/>
    </w:pPr>
    <w:rPr>
      <w:color w:val="auto"/>
    </w:rPr>
  </w:style>
  <w:style w:type="paragraph" w:styleId="26">
    <w:name w:val="Balloon Text"/>
    <w:basedOn w:val="1"/>
    <w:semiHidden/>
    <w:unhideWhenUsed/>
    <w:qFormat/>
    <w:uiPriority w:val="99"/>
    <w:pPr>
      <w:spacing w:line="240" w:lineRule="auto"/>
    </w:pPr>
  </w:style>
  <w:style w:type="paragraph" w:styleId="27">
    <w:name w:val="footer"/>
    <w:basedOn w:val="1"/>
    <w:link w:val="164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header"/>
    <w:basedOn w:val="1"/>
    <w:link w:val="17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9">
    <w:name w:val="toc 1"/>
    <w:basedOn w:val="1"/>
    <w:next w:val="1"/>
    <w:autoRedefine/>
    <w:unhideWhenUsed/>
    <w:qFormat/>
    <w:uiPriority w:val="39"/>
    <w:rPr>
      <w:rFonts w:eastAsia="微软雅黑"/>
      <w:color w:val="FF0000"/>
    </w:rPr>
  </w:style>
  <w:style w:type="paragraph" w:styleId="30">
    <w:name w:val="Subtitle"/>
    <w:basedOn w:val="1"/>
    <w:next w:val="1"/>
    <w:qFormat/>
    <w:uiPriority w:val="11"/>
    <w:pPr>
      <w:spacing w:after="240"/>
      <w:jc w:val="center"/>
    </w:pPr>
    <w:rPr>
      <w:b/>
      <w:bCs/>
      <w:color w:val="003399"/>
      <w:sz w:val="24"/>
    </w:rPr>
  </w:style>
  <w:style w:type="paragraph" w:styleId="3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2">
    <w:name w:val="toc 2"/>
    <w:basedOn w:val="1"/>
    <w:next w:val="1"/>
    <w:autoRedefine/>
    <w:unhideWhenUsed/>
    <w:qFormat/>
    <w:uiPriority w:val="39"/>
    <w:pPr>
      <w:ind w:left="420" w:leftChars="200"/>
    </w:pPr>
    <w:rPr>
      <w:rFonts w:eastAsia="微软雅黑"/>
      <w:color w:val="3366FF"/>
    </w:rPr>
  </w:style>
  <w:style w:type="paragraph" w:styleId="33">
    <w:name w:val="Body Text 2"/>
    <w:basedOn w:val="1"/>
    <w:link w:val="190"/>
    <w:unhideWhenUsed/>
    <w:qFormat/>
    <w:uiPriority w:val="99"/>
    <w:pPr>
      <w:spacing w:after="120" w:line="480" w:lineRule="auto"/>
    </w:pPr>
  </w:style>
  <w:style w:type="paragraph" w:styleId="34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5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6">
    <w:name w:val="Title"/>
    <w:basedOn w:val="1"/>
    <w:next w:val="1"/>
    <w:qFormat/>
    <w:uiPriority w:val="10"/>
    <w:pPr>
      <w:spacing w:after="240"/>
      <w:jc w:val="center"/>
      <w:outlineLvl w:val="9"/>
    </w:pPr>
    <w:rPr>
      <w:b/>
      <w:bCs/>
      <w:color w:val="003399"/>
      <w:sz w:val="44"/>
      <w:szCs w:val="44"/>
    </w:rPr>
  </w:style>
  <w:style w:type="table" w:styleId="38">
    <w:name w:val="Table Grid"/>
    <w:basedOn w:val="37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9">
    <w:name w:val="Light Shading"/>
    <w:basedOn w:val="37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37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37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37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37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37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37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37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37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37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37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37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37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37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37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37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37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37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37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37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37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37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37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37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37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37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37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37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37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37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37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37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37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37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37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37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37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37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37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37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37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37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37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37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37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37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37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37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37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37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37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37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37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37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37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37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37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37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37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37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37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37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37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37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37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37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37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37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37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37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37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37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37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37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37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37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37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37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37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37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37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37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37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37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37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37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37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37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37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37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37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37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37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37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37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37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37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37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8">
    <w:name w:val="Strong"/>
    <w:basedOn w:val="137"/>
    <w:qFormat/>
    <w:uiPriority w:val="22"/>
    <w:rPr>
      <w:b/>
      <w:bCs/>
    </w:rPr>
  </w:style>
  <w:style w:type="character" w:styleId="139">
    <w:name w:val="Emphasis"/>
    <w:basedOn w:val="137"/>
    <w:qFormat/>
    <w:uiPriority w:val="20"/>
    <w:rPr>
      <w:i/>
      <w:iCs/>
    </w:rPr>
  </w:style>
  <w:style w:type="character" w:styleId="140">
    <w:name w:val="Hyperlink"/>
    <w:unhideWhenUsed/>
    <w:qFormat/>
    <w:uiPriority w:val="99"/>
    <w:rPr>
      <w:color w:val="0000FF"/>
      <w:u w:val="single"/>
    </w:rPr>
  </w:style>
  <w:style w:type="character" w:customStyle="1" w:styleId="141">
    <w:name w:val="Heading 1 Char"/>
    <w:basedOn w:val="137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7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标题 5 Char"/>
    <w:qFormat/>
    <w:uiPriority w:val="9"/>
    <w:rPr>
      <w:rFonts w:ascii="微软雅黑" w:hAnsi="微软雅黑" w:eastAsia="微软雅黑" w:cs="微软雅黑"/>
      <w:bCs/>
      <w:color w:val="333333"/>
      <w:kern w:val="0"/>
      <w:sz w:val="18"/>
      <w:szCs w:val="28"/>
      <w:u w:color="000000"/>
    </w:rPr>
  </w:style>
  <w:style w:type="paragraph" w:customStyle="1" w:styleId="144">
    <w:name w:val="TOC Heading"/>
    <w:basedOn w:val="2"/>
    <w:next w:val="1"/>
    <w:unhideWhenUsed/>
    <w:qFormat/>
    <w:uiPriority w:val="39"/>
    <w:pPr>
      <w:keepNext/>
      <w:keepLines/>
      <w:numPr>
        <w:ilvl w:val="0"/>
        <w:numId w:val="0"/>
      </w:numPr>
      <w:spacing w:before="480" w:line="276" w:lineRule="auto"/>
      <w:outlineLvl w:val="9"/>
    </w:pPr>
    <w:rPr>
      <w:rFonts w:ascii="Cambria" w:hAnsi="Cambria" w:cs="Times New Roman"/>
      <w:bCs/>
      <w:color w:val="365F91"/>
      <w:sz w:val="28"/>
      <w:szCs w:val="28"/>
    </w:rPr>
  </w:style>
  <w:style w:type="character" w:customStyle="1" w:styleId="145">
    <w:name w:val="Body Text 3 Char"/>
    <w:basedOn w:val="137"/>
    <w:qFormat/>
    <w:uiPriority w:val="99"/>
    <w:rPr>
      <w:sz w:val="16"/>
      <w:szCs w:val="16"/>
    </w:rPr>
  </w:style>
  <w:style w:type="character" w:customStyle="1" w:styleId="146">
    <w:name w:val="批注框文本 Char"/>
    <w:semiHidden/>
    <w:qFormat/>
    <w:uiPriority w:val="99"/>
    <w:rPr>
      <w:rFonts w:ascii="微软雅黑" w:hAnsi="微软雅黑" w:eastAsia="微软雅黑" w:cs="微软雅黑"/>
      <w:color w:val="333333"/>
      <w:kern w:val="0"/>
      <w:sz w:val="18"/>
      <w:szCs w:val="18"/>
      <w:u w:color="000000"/>
    </w:rPr>
  </w:style>
  <w:style w:type="character" w:customStyle="1" w:styleId="147">
    <w:name w:val="标题 2 Char"/>
    <w:link w:val="3"/>
    <w:qFormat/>
    <w:uiPriority w:val="0"/>
    <w:rPr>
      <w:rFonts w:ascii="微软雅黑" w:hAnsi="微软雅黑" w:eastAsia="微软雅黑" w:cs="微软雅黑"/>
      <w:b/>
      <w:color w:val="558ED5" w:themeColor="text2" w:themeTint="99"/>
      <w:kern w:val="0"/>
      <w:sz w:val="28"/>
      <w:szCs w:val="28"/>
      <w:u w:color="000000"/>
      <w14:textFill>
        <w14:solidFill>
          <w14:schemeClr w14:val="tx2">
            <w14:lumMod w14:val="60000"/>
            <w14:lumOff w14:val="40000"/>
          </w14:schemeClr>
        </w14:solidFill>
      </w14:textFill>
    </w:rPr>
  </w:style>
  <w:style w:type="character" w:customStyle="1" w:styleId="148">
    <w:name w:val="副标题 Char"/>
    <w:link w:val="16"/>
    <w:qFormat/>
    <w:uiPriority w:val="11"/>
    <w:rPr>
      <w:rFonts w:ascii="微软雅黑" w:hAnsi="微软雅黑" w:eastAsia="微软雅黑" w:cs="微软雅黑"/>
      <w:b/>
      <w:bCs/>
      <w:color w:val="003399"/>
      <w:kern w:val="0"/>
      <w:sz w:val="24"/>
      <w:szCs w:val="18"/>
      <w:u w:color="000000"/>
    </w:rPr>
  </w:style>
  <w:style w:type="character" w:customStyle="1" w:styleId="149">
    <w:name w:val="Body Text Char"/>
    <w:basedOn w:val="137"/>
    <w:link w:val="20"/>
    <w:qFormat/>
    <w:uiPriority w:val="99"/>
  </w:style>
  <w:style w:type="character" w:customStyle="1" w:styleId="150">
    <w:name w:val="ht09011"/>
    <w:qFormat/>
    <w:uiPriority w:val="0"/>
    <w:rPr>
      <w:rFonts w:ascii="Ђˎ̥" w:hAnsi="Ђˎ̥"/>
      <w:color w:val="333333"/>
      <w:sz w:val="18"/>
    </w:rPr>
  </w:style>
  <w:style w:type="character" w:customStyle="1" w:styleId="151">
    <w:name w:val="标题 6 Char"/>
    <w:qFormat/>
    <w:uiPriority w:val="9"/>
    <w:rPr>
      <w:rFonts w:asciiTheme="majorHAnsi" w:hAnsiTheme="majorHAnsi" w:eastAsiaTheme="majorEastAsia" w:cstheme="majorBidi"/>
      <w:bCs/>
      <w:color w:val="333333"/>
      <w:kern w:val="0"/>
      <w:sz w:val="18"/>
      <w:szCs w:val="18"/>
      <w:u w:color="000000"/>
    </w:rPr>
  </w:style>
  <w:style w:type="character" w:customStyle="1" w:styleId="152">
    <w:name w:val="Intense Reference"/>
    <w:basedOn w:val="137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53">
    <w:name w:val="标题 4 Char"/>
    <w:qFormat/>
    <w:uiPriority w:val="9"/>
    <w:rPr>
      <w:rFonts w:ascii="微软雅黑" w:eastAsia="微软雅黑" w:hAnsiTheme="majorHAnsi" w:cstheme="majorBidi"/>
      <w:b/>
      <w:bCs/>
      <w:color w:val="333333"/>
      <w:kern w:val="0"/>
      <w:sz w:val="18"/>
      <w:szCs w:val="28"/>
      <w:u w:color="000000"/>
    </w:rPr>
  </w:style>
  <w:style w:type="character" w:customStyle="1" w:styleId="154">
    <w:name w:val="标题 Char"/>
    <w:link w:val="18"/>
    <w:qFormat/>
    <w:uiPriority w:val="10"/>
    <w:rPr>
      <w:rFonts w:ascii="微软雅黑" w:hAnsi="微软雅黑" w:eastAsia="微软雅黑" w:cs="微软雅黑"/>
      <w:b/>
      <w:bCs/>
      <w:color w:val="003399"/>
      <w:kern w:val="0"/>
      <w:sz w:val="44"/>
      <w:szCs w:val="44"/>
      <w:u w:color="000000"/>
    </w:rPr>
  </w:style>
  <w:style w:type="character" w:customStyle="1" w:styleId="155">
    <w:name w:val="小标题 Char"/>
    <w:qFormat/>
    <w:uiPriority w:val="0"/>
    <w:rPr>
      <w:rFonts w:ascii="微软雅黑" w:hAnsi="微软雅黑" w:eastAsia="微软雅黑" w:cs="微软雅黑"/>
      <w:b/>
      <w:bCs/>
      <w:color w:val="333333"/>
      <w:kern w:val="0"/>
      <w:sz w:val="18"/>
      <w:szCs w:val="20"/>
      <w:u w:color="000000"/>
    </w:rPr>
  </w:style>
  <w:style w:type="character" w:customStyle="1" w:styleId="156">
    <w:name w:val="Intense Quote Char"/>
    <w:basedOn w:val="137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157">
    <w:name w:val="Intense Quote"/>
    <w:basedOn w:val="1"/>
    <w:next w:val="1"/>
    <w:link w:val="156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158">
    <w:name w:val="List Paragraph"/>
    <w:basedOn w:val="1"/>
    <w:qFormat/>
    <w:uiPriority w:val="34"/>
    <w:pPr>
      <w:ind w:left="720"/>
      <w:contextualSpacing/>
    </w:pPr>
  </w:style>
  <w:style w:type="character" w:customStyle="1" w:styleId="159">
    <w:name w:val="Heading 5 Char"/>
    <w:basedOn w:val="13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60">
    <w:name w:val="表格正文 Char"/>
    <w:qFormat/>
    <w:uiPriority w:val="0"/>
    <w:rPr>
      <w:rFonts w:ascii="微软雅黑" w:hAnsi="微软雅黑" w:eastAsia="微软雅黑" w:cs="微软雅黑"/>
      <w:color w:val="333333"/>
      <w:kern w:val="0"/>
      <w:sz w:val="18"/>
      <w:szCs w:val="18"/>
      <w:u w:color="000000"/>
    </w:rPr>
  </w:style>
  <w:style w:type="character" w:customStyle="1" w:styleId="161">
    <w:name w:val="Subtle Emphasis"/>
    <w:basedOn w:val="137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paragraph" w:customStyle="1" w:styleId="162">
    <w:name w:val="表格标题"/>
    <w:qFormat/>
    <w:uiPriority w:val="0"/>
    <w:pPr>
      <w:jc w:val="center"/>
    </w:pPr>
    <w:rPr>
      <w:rFonts w:asciiTheme="minorHAnsi" w:hAnsiTheme="minorHAnsi" w:eastAsiaTheme="minorEastAsia" w:cstheme="minorBidi"/>
      <w:b/>
      <w:color w:val="FFFFFF"/>
    </w:rPr>
  </w:style>
  <w:style w:type="character" w:customStyle="1" w:styleId="163">
    <w:name w:val="Heading 4 Char"/>
    <w:basedOn w:val="137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4">
    <w:name w:val="Footer Char"/>
    <w:basedOn w:val="137"/>
    <w:link w:val="27"/>
    <w:qFormat/>
    <w:uiPriority w:val="99"/>
  </w:style>
  <w:style w:type="character" w:customStyle="1" w:styleId="165">
    <w:name w:val="Heading 3 Char"/>
    <w:basedOn w:val="137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6">
    <w:name w:val="页眉 Char"/>
    <w:qFormat/>
    <w:uiPriority w:val="0"/>
    <w:rPr>
      <w:rFonts w:ascii="微软雅黑" w:hAnsi="微软雅黑" w:eastAsia="微软雅黑" w:cs="微软雅黑"/>
      <w:color w:val="333333"/>
      <w:kern w:val="0"/>
      <w:sz w:val="18"/>
      <w:szCs w:val="18"/>
      <w:u w:color="000000"/>
    </w:rPr>
  </w:style>
  <w:style w:type="character" w:customStyle="1" w:styleId="167">
    <w:name w:val="Heading 8 Char"/>
    <w:basedOn w:val="137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68">
    <w:name w:val="Subtle Reference"/>
    <w:basedOn w:val="137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9">
    <w:name w:val="正文标题 Char"/>
    <w:qFormat/>
    <w:uiPriority w:val="0"/>
    <w:rPr>
      <w:rFonts w:ascii="微软雅黑" w:hAnsi="微软雅黑" w:eastAsia="微软雅黑" w:cs="微软雅黑"/>
      <w:b/>
      <w:bCs/>
      <w:color w:val="003399"/>
      <w:kern w:val="0"/>
      <w:sz w:val="24"/>
      <w:szCs w:val="18"/>
      <w:u w:color="000000"/>
    </w:rPr>
  </w:style>
  <w:style w:type="character" w:customStyle="1" w:styleId="170">
    <w:name w:val="页脚 Char"/>
    <w:qFormat/>
    <w:uiPriority w:val="99"/>
    <w:rPr>
      <w:rFonts w:ascii="微软雅黑" w:hAnsi="微软雅黑" w:eastAsia="微软雅黑" w:cs="微软雅黑"/>
      <w:color w:val="333333"/>
      <w:kern w:val="0"/>
      <w:sz w:val="18"/>
      <w:szCs w:val="18"/>
      <w:u w:color="000000"/>
    </w:rPr>
  </w:style>
  <w:style w:type="character" w:customStyle="1" w:styleId="171">
    <w:name w:val="标题 7 Char"/>
    <w:qFormat/>
    <w:uiPriority w:val="9"/>
    <w:rPr>
      <w:rFonts w:ascii="微软雅黑" w:hAnsi="微软雅黑" w:eastAsia="微软雅黑" w:cs="微软雅黑"/>
      <w:bCs/>
      <w:color w:val="333333"/>
      <w:kern w:val="0"/>
      <w:sz w:val="18"/>
      <w:szCs w:val="18"/>
      <w:u w:color="000000"/>
    </w:rPr>
  </w:style>
  <w:style w:type="character" w:customStyle="1" w:styleId="172">
    <w:name w:val="表格标题 Char"/>
    <w:qFormat/>
    <w:uiPriority w:val="0"/>
    <w:rPr>
      <w:rFonts w:ascii="微软雅黑" w:hAnsi="微软雅黑" w:eastAsia="微软雅黑" w:cs="微软雅黑"/>
      <w:b/>
      <w:color w:val="FFFFFF"/>
      <w:kern w:val="0"/>
      <w:sz w:val="18"/>
      <w:szCs w:val="18"/>
      <w:u w:color="000000"/>
    </w:rPr>
  </w:style>
  <w:style w:type="character" w:customStyle="1" w:styleId="173">
    <w:name w:val="Heading 7 Char"/>
    <w:basedOn w:val="137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74">
    <w:name w:val="Macro Text Char"/>
    <w:basedOn w:val="137"/>
    <w:link w:val="2"/>
    <w:qFormat/>
    <w:uiPriority w:val="99"/>
    <w:rPr>
      <w:rFonts w:ascii="Courier" w:hAnsi="Courier"/>
      <w:sz w:val="20"/>
      <w:szCs w:val="20"/>
    </w:rPr>
  </w:style>
  <w:style w:type="character" w:customStyle="1" w:styleId="175">
    <w:name w:val="Header Char"/>
    <w:basedOn w:val="137"/>
    <w:link w:val="28"/>
    <w:qFormat/>
    <w:uiPriority w:val="99"/>
  </w:style>
  <w:style w:type="character" w:customStyle="1" w:styleId="176">
    <w:name w:val="Heading 9 Char"/>
    <w:basedOn w:val="137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77">
    <w:name w:val="Title Char"/>
    <w:basedOn w:val="1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178">
    <w:name w:val="Quote"/>
    <w:basedOn w:val="1"/>
    <w:next w:val="1"/>
    <w:link w:val="19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79">
    <w:name w:val="Heading 6 Char"/>
    <w:basedOn w:val="137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customStyle="1" w:styleId="180">
    <w:name w:val="正文标题"/>
    <w:basedOn w:val="1"/>
    <w:qFormat/>
    <w:uiPriority w:val="0"/>
    <w:pPr>
      <w:jc w:val="center"/>
    </w:pPr>
    <w:rPr>
      <w:b/>
      <w:bCs/>
      <w:color w:val="003399"/>
      <w:sz w:val="24"/>
    </w:rPr>
  </w:style>
  <w:style w:type="paragraph" w:styleId="181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82">
    <w:name w:val="标题 1 Char"/>
    <w:link w:val="2"/>
    <w:qFormat/>
    <w:uiPriority w:val="0"/>
    <w:rPr>
      <w:rFonts w:ascii="微软雅黑" w:hAnsi="微软雅黑" w:eastAsia="微软雅黑" w:cs="微软雅黑"/>
      <w:b/>
      <w:color w:val="1F497D" w:themeColor="text2"/>
      <w:kern w:val="0"/>
      <w:sz w:val="32"/>
      <w:szCs w:val="32"/>
      <w:u w:color="000000"/>
      <w14:textFill>
        <w14:solidFill>
          <w14:schemeClr w14:val="tx2"/>
        </w14:solidFill>
      </w14:textFill>
    </w:rPr>
  </w:style>
  <w:style w:type="character" w:customStyle="1" w:styleId="183">
    <w:name w:val="备注 Char"/>
    <w:qFormat/>
    <w:uiPriority w:val="0"/>
    <w:rPr>
      <w:rFonts w:ascii="微软雅黑" w:hAnsi="微软雅黑" w:eastAsia="微软雅黑" w:cs="微软雅黑"/>
      <w:color w:val="808080"/>
      <w:kern w:val="0"/>
      <w:sz w:val="18"/>
      <w:szCs w:val="20"/>
      <w:u w:color="000000"/>
    </w:rPr>
  </w:style>
  <w:style w:type="character" w:customStyle="1" w:styleId="184">
    <w:name w:val="Intense Emphasis"/>
    <w:basedOn w:val="137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85">
    <w:name w:val="Subtitle Char"/>
    <w:basedOn w:val="13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186">
    <w:name w:val="Book Title"/>
    <w:basedOn w:val="137"/>
    <w:qFormat/>
    <w:uiPriority w:val="33"/>
    <w:rPr>
      <w:b/>
      <w:bCs/>
      <w:smallCaps/>
      <w:spacing w:val="5"/>
    </w:rPr>
  </w:style>
  <w:style w:type="character" w:customStyle="1" w:styleId="187">
    <w:name w:val="标题 3 Char"/>
    <w:link w:val="4"/>
    <w:qFormat/>
    <w:uiPriority w:val="0"/>
    <w:rPr>
      <w:rFonts w:ascii="微软雅黑" w:hAnsi="微软雅黑" w:eastAsia="微软雅黑" w:cs="微软雅黑"/>
      <w:b/>
      <w:kern w:val="0"/>
      <w:szCs w:val="21"/>
      <w:u w:color="000000"/>
    </w:rPr>
  </w:style>
  <w:style w:type="paragraph" w:customStyle="1" w:styleId="188">
    <w:name w:val="备注"/>
    <w:basedOn w:val="1"/>
    <w:qFormat/>
    <w:uiPriority w:val="0"/>
    <w:pPr>
      <w:ind w:left="1272" w:leftChars="699" w:hanging="14" w:hangingChars="8"/>
    </w:pPr>
    <w:rPr>
      <w:color w:val="808080"/>
      <w:szCs w:val="20"/>
    </w:rPr>
  </w:style>
  <w:style w:type="paragraph" w:customStyle="1" w:styleId="189">
    <w:name w:val="小标题"/>
    <w:basedOn w:val="1"/>
    <w:qFormat/>
    <w:uiPriority w:val="0"/>
    <w:pPr>
      <w:snapToGrid w:val="0"/>
      <w:spacing w:line="277" w:lineRule="atLeast"/>
      <w:textAlignment w:val="baseline"/>
    </w:pPr>
    <w:rPr>
      <w:b/>
      <w:bCs/>
      <w:szCs w:val="20"/>
    </w:rPr>
  </w:style>
  <w:style w:type="character" w:customStyle="1" w:styleId="190">
    <w:name w:val="Body Text 2 Char"/>
    <w:basedOn w:val="137"/>
    <w:link w:val="33"/>
    <w:qFormat/>
    <w:uiPriority w:val="99"/>
  </w:style>
  <w:style w:type="character" w:customStyle="1" w:styleId="191">
    <w:name w:val="Quote Char"/>
    <w:basedOn w:val="137"/>
    <w:link w:val="17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92">
    <w:name w:val="表格正文"/>
    <w:basedOn w:val="1"/>
    <w:qFormat/>
    <w:uiPriority w:val="0"/>
    <w:pPr>
      <w:spacing w:afterLines="0" w:line="240" w:lineRule="auto"/>
      <w:ind w:left="0" w:leftChars="0" w:right="0" w:rightChars="0" w:firstLine="0" w:firstLineChars="0" w:hanging="0" w:hangingChars="0"/>
      <w:jc w:val="center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1358</Words>
  <Characters>1512</Characters>
  <TotalTime>1</TotalTime>
  <ScaleCrop>false</ScaleCrop>
  <LinksUpToDate>false</LinksUpToDate>
  <CharactersWithSpaces>1655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2026-08-18T09:59:00Z</dcterms:created>
  <dc:creator>Admin</dc:creator>
  <cp:lastModifiedBy>Conan ‍微信超級會員</cp:lastModifiedBy>
  <dcterms:modified xsi:type="dcterms:W3CDTF">2026-08-18T05:21:06Z</dcterms:modified>
  <dc:title/>
  <dc:subject/>
  <cp:keywords/>
  <dc:description/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eyJoZGlkIjoiNWQxMjhiZDRkOGY5ZWFlMDY2NmRjZDM1YWEzNDE5ZTMiLCJ1c2VySWQiOiIyMzgzODUwMzQifQ==</vt:lpwstr>
  </property>
  <property fmtid="{D5CDD505-2E9C-101B-9397-08002B2CF9AE}" pid="3" name="KSOProductBuildVer">
    <vt:lpwstr>2052-12.1.0.28043</vt:lpwstr>
  </property>
  <property fmtid="{D5CDD505-2E9C-101B-9397-08002B2CF9AE}" pid="4" name="ICV">
    <vt:lpwstr>3F53A2BE4D804BC997D3FF3AD9E50102_12</vt:lpwstr>
  </property>
</Properties>
</file>