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17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eastAsia" w:ascii="黑体" w:hAnsi="黑体" w:eastAsia="黑体" w:cs="黑体"/>
          <w:shd w:val="clear" w:color="050000" w:fill="auto"/>
        </w:rPr>
      </w:pPr>
      <w:r>
        <w:rPr>
          <w:rFonts w:hint="eastAsia" w:ascii="黑体" w:hAnsi="黑体" w:eastAsia="黑体" w:cs="黑体"/>
          <w:shd w:val="clear" w:color="050000" w:fill="auto"/>
        </w:rPr>
        <w:t>附件2</w:t>
      </w:r>
    </w:p>
    <w:p w14:paraId="72E0C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 w:cs="宋体"/>
          <w:b/>
          <w:sz w:val="44"/>
          <w:szCs w:val="44"/>
          <w:shd w:val="clear" w:color="050000" w:fill="auto"/>
        </w:rPr>
      </w:pPr>
      <w:bookmarkStart w:id="0" w:name="_GoBack"/>
      <w:r>
        <w:rPr>
          <w:rFonts w:hint="eastAsia" w:ascii="宋体" w:hAnsi="宋体" w:cs="宋体"/>
          <w:b/>
          <w:sz w:val="44"/>
          <w:szCs w:val="44"/>
          <w:shd w:val="clear" w:color="050000" w:fill="auto"/>
          <w:lang w:eastAsia="zh-CN"/>
        </w:rPr>
        <w:t>第十四届</w:t>
      </w:r>
      <w:r>
        <w:rPr>
          <w:rFonts w:hint="eastAsia" w:ascii="宋体" w:hAnsi="宋体" w:cs="宋体"/>
          <w:b/>
          <w:sz w:val="44"/>
          <w:szCs w:val="44"/>
          <w:shd w:val="clear" w:color="050000" w:fill="auto"/>
        </w:rPr>
        <w:t>校园</w:t>
      </w:r>
      <w:r>
        <w:rPr>
          <w:rFonts w:ascii="宋体" w:hAnsi="宋体" w:cs="宋体"/>
          <w:b/>
          <w:sz w:val="44"/>
          <w:szCs w:val="44"/>
          <w:shd w:val="clear" w:color="050000" w:fill="auto"/>
        </w:rPr>
        <w:t>心理剧</w:t>
      </w:r>
      <w:r>
        <w:rPr>
          <w:rFonts w:hint="eastAsia" w:ascii="宋体" w:hAnsi="宋体" w:cs="宋体"/>
          <w:b/>
          <w:sz w:val="44"/>
          <w:szCs w:val="44"/>
          <w:shd w:val="clear" w:color="050000" w:fill="auto"/>
        </w:rPr>
        <w:t>大赛</w:t>
      </w:r>
      <w:r>
        <w:rPr>
          <w:rFonts w:ascii="宋体" w:hAnsi="宋体" w:cs="宋体"/>
          <w:b/>
          <w:sz w:val="44"/>
          <w:szCs w:val="44"/>
          <w:shd w:val="clear" w:color="050000" w:fill="auto"/>
        </w:rPr>
        <w:t>参赛报名表</w:t>
      </w:r>
    </w:p>
    <w:bookmarkEnd w:id="0"/>
    <w:p w14:paraId="5DBDC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 w:cs="宋体"/>
          <w:b/>
          <w:sz w:val="44"/>
          <w:szCs w:val="44"/>
          <w:shd w:val="clear" w:color="050000" w:fill="auto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945"/>
        <w:gridCol w:w="2320"/>
        <w:gridCol w:w="2000"/>
        <w:gridCol w:w="1910"/>
        <w:gridCol w:w="2350"/>
        <w:gridCol w:w="2127"/>
      </w:tblGrid>
      <w:tr w14:paraId="5E783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shd w:val="clear" w:color="auto" w:fill="auto"/>
            <w:noWrap w:val="0"/>
            <w:vAlign w:val="center"/>
          </w:tcPr>
          <w:p w14:paraId="421EE6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  <w:r>
              <w:rPr>
                <w:rFonts w:hint="eastAsia" w:ascii="仿宋" w:hAnsi="仿宋" w:eastAsia="仿宋" w:cs="仿宋"/>
                <w:shd w:val="clear" w:color="050000" w:fill="auto"/>
              </w:rPr>
              <w:t>序</w:t>
            </w:r>
          </w:p>
          <w:p w14:paraId="25AF89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  <w:r>
              <w:rPr>
                <w:rFonts w:hint="eastAsia" w:ascii="仿宋" w:hAnsi="仿宋" w:eastAsia="仿宋" w:cs="仿宋"/>
                <w:shd w:val="clear" w:color="050000" w:fill="auto"/>
              </w:rPr>
              <w:t>号</w:t>
            </w:r>
          </w:p>
        </w:tc>
        <w:tc>
          <w:tcPr>
            <w:tcW w:w="1945" w:type="dxa"/>
            <w:shd w:val="clear" w:color="auto" w:fill="auto"/>
            <w:noWrap w:val="0"/>
            <w:vAlign w:val="center"/>
          </w:tcPr>
          <w:p w14:paraId="6DC131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  <w:r>
              <w:rPr>
                <w:rFonts w:hint="eastAsia" w:ascii="仿宋" w:hAnsi="仿宋" w:eastAsia="仿宋" w:cs="仿宋"/>
                <w:shd w:val="clear" w:color="050000" w:fill="auto"/>
              </w:rPr>
              <w:t>学院</w:t>
            </w:r>
          </w:p>
        </w:tc>
        <w:tc>
          <w:tcPr>
            <w:tcW w:w="2320" w:type="dxa"/>
            <w:shd w:val="clear" w:color="auto" w:fill="auto"/>
            <w:noWrap w:val="0"/>
            <w:vAlign w:val="center"/>
          </w:tcPr>
          <w:p w14:paraId="584D7C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  <w:r>
              <w:rPr>
                <w:rFonts w:hint="eastAsia" w:ascii="仿宋" w:hAnsi="仿宋" w:eastAsia="仿宋" w:cs="仿宋"/>
                <w:shd w:val="clear" w:color="050000" w:fill="auto"/>
              </w:rPr>
              <w:t>剧本名称</w:t>
            </w:r>
          </w:p>
        </w:tc>
        <w:tc>
          <w:tcPr>
            <w:tcW w:w="2000" w:type="dxa"/>
            <w:shd w:val="clear" w:color="auto" w:fill="auto"/>
            <w:noWrap w:val="0"/>
            <w:vAlign w:val="center"/>
          </w:tcPr>
          <w:p w14:paraId="2AE70F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  <w:r>
              <w:rPr>
                <w:rFonts w:hint="eastAsia" w:ascii="仿宋" w:hAnsi="仿宋" w:eastAsia="仿宋" w:cs="仿宋"/>
                <w:shd w:val="clear" w:color="050000" w:fill="auto"/>
              </w:rPr>
              <w:t>参赛</w:t>
            </w:r>
          </w:p>
          <w:p w14:paraId="795CA7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  <w:r>
              <w:rPr>
                <w:rFonts w:hint="eastAsia" w:ascii="仿宋" w:hAnsi="仿宋" w:eastAsia="仿宋" w:cs="仿宋"/>
                <w:shd w:val="clear" w:color="050000" w:fill="auto"/>
              </w:rPr>
              <w:t>人数</w:t>
            </w:r>
          </w:p>
        </w:tc>
        <w:tc>
          <w:tcPr>
            <w:tcW w:w="1910" w:type="dxa"/>
            <w:shd w:val="clear" w:color="auto" w:fill="auto"/>
            <w:noWrap w:val="0"/>
            <w:vAlign w:val="center"/>
          </w:tcPr>
          <w:p w14:paraId="1D04BA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  <w:r>
              <w:rPr>
                <w:rFonts w:hint="eastAsia" w:ascii="仿宋" w:hAnsi="仿宋" w:eastAsia="仿宋" w:cs="仿宋"/>
                <w:shd w:val="clear" w:color="050000" w:fill="auto"/>
              </w:rPr>
              <w:t>负责人</w:t>
            </w:r>
          </w:p>
        </w:tc>
        <w:tc>
          <w:tcPr>
            <w:tcW w:w="2350" w:type="dxa"/>
            <w:shd w:val="clear" w:color="auto" w:fill="auto"/>
            <w:noWrap w:val="0"/>
            <w:vAlign w:val="center"/>
          </w:tcPr>
          <w:p w14:paraId="28E3A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  <w:r>
              <w:rPr>
                <w:rFonts w:hint="eastAsia" w:ascii="仿宋" w:hAnsi="仿宋" w:eastAsia="仿宋" w:cs="仿宋"/>
                <w:shd w:val="clear" w:color="050000" w:fill="auto"/>
              </w:rPr>
              <w:t>联系方式</w:t>
            </w:r>
          </w:p>
        </w:tc>
        <w:tc>
          <w:tcPr>
            <w:tcW w:w="2127" w:type="dxa"/>
            <w:shd w:val="clear" w:color="auto" w:fill="auto"/>
            <w:noWrap w:val="0"/>
            <w:vAlign w:val="center"/>
          </w:tcPr>
          <w:p w14:paraId="3CCB61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" w:hAnsi="仿宋" w:eastAsia="仿宋" w:cs="仿宋"/>
                <w:shd w:val="clear" w:color="050000" w:fill="auto"/>
              </w:rPr>
            </w:pPr>
            <w:r>
              <w:rPr>
                <w:rFonts w:hint="eastAsia" w:ascii="仿宋" w:hAnsi="仿宋" w:eastAsia="仿宋" w:cs="仿宋"/>
                <w:shd w:val="clear" w:color="050000" w:fill="auto"/>
              </w:rPr>
              <w:t>备注</w:t>
            </w:r>
          </w:p>
        </w:tc>
      </w:tr>
      <w:tr w14:paraId="0D788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shd w:val="clear" w:color="auto" w:fill="auto"/>
            <w:noWrap w:val="0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1</w:t>
            </w:r>
          </w:p>
        </w:tc>
        <w:tc>
          <w:tcPr>
            <w:tcW w:w="1945" w:type="dxa"/>
            <w:shd w:val="clear" w:color="auto" w:fill="auto"/>
            <w:noWrap w:val="0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医药信息工程学院</w:t>
            </w:r>
          </w:p>
        </w:tc>
        <w:tc>
          <w:tcPr>
            <w:tcW w:w="2320" w:type="dxa"/>
            <w:shd w:val="clear" w:color="auto" w:fill="auto"/>
            <w:noWrap w:val="0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心房搜查令（原创）</w:t>
            </w:r>
          </w:p>
        </w:tc>
        <w:tc>
          <w:tcPr>
            <w:tcW w:w="2000" w:type="dxa"/>
            <w:shd w:val="clear" w:color="auto" w:fill="auto"/>
            <w:noWrap w:val="0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4人</w:t>
            </w:r>
          </w:p>
        </w:tc>
        <w:tc>
          <w:tcPr>
            <w:tcW w:w="1910" w:type="dxa"/>
            <w:shd w:val="clear" w:color="auto" w:fill="auto"/>
            <w:noWrap w:val="0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郝朋（心理委员）</w:t>
            </w:r>
          </w:p>
        </w:tc>
        <w:tc>
          <w:tcPr>
            <w:tcW w:w="2350" w:type="dxa"/>
            <w:shd w:val="clear" w:color="auto" w:fill="auto"/>
            <w:noWrap w:val="0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15156008899</w:t>
            </w:r>
          </w:p>
        </w:tc>
        <w:tc>
          <w:tcPr>
            <w:tcW w:w="2127" w:type="dxa"/>
            <w:shd w:val="clear" w:color="auto" w:fill="auto"/>
            <w:noWrap w:val="0"/>
            <w:vAlign w:val="center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原创心理情景剧；时长12-14分钟；含16:9大屏放映与紫竹笛独奏；见下附演职表</w:t>
            </w:r>
          </w:p>
        </w:tc>
      </w:tr>
      <w:tr w14:paraId="4598A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1945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232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200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191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235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>
            <w:r/>
          </w:p>
        </w:tc>
      </w:tr>
      <w:tr w14:paraId="3CFF8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1945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232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200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191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235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>
            <w:r/>
          </w:p>
        </w:tc>
      </w:tr>
      <w:tr w14:paraId="538E9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1945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232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200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191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235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>
            <w:r/>
          </w:p>
        </w:tc>
      </w:tr>
      <w:tr w14:paraId="51DCC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1945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232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200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191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235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>
            <w:r/>
          </w:p>
        </w:tc>
      </w:tr>
      <w:tr w14:paraId="266DA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1945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232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200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191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235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>
            <w:r/>
          </w:p>
        </w:tc>
      </w:tr>
      <w:tr w14:paraId="50D34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1945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232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200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191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2350" w:type="dxa"/>
            <w:shd w:val="clear" w:color="auto" w:fill="auto"/>
            <w:noWrap w:val="0"/>
            <w:vAlign w:val="top"/>
          </w:tcPr>
          <w:p>
            <w:r/>
          </w:p>
        </w:tc>
        <w:tc>
          <w:tcPr>
            <w:tcW w:w="2127" w:type="dxa"/>
            <w:shd w:val="clear" w:color="auto" w:fill="auto"/>
            <w:noWrap w:val="0"/>
            <w:vAlign w:val="top"/>
          </w:tcPr>
          <w:p>
            <w:r/>
          </w:p>
        </w:tc>
      </w:tr>
    </w:tbl>
    <w:p w14:paraId="0A60A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hd w:val="clear" w:color="050000" w:fill="auto"/>
        </w:rPr>
        <w:sectPr>
          <w:pgSz w:w="16838" w:h="11906" w:orient="landscape"/>
          <w:pgMar w:top="1803" w:right="1440" w:bottom="1803" w:left="1440" w:header="720" w:footer="720" w:gutter="0"/>
          <w:cols w:space="0" w:num="1"/>
          <w:docGrid w:type="lines" w:linePitch="319" w:charSpace="0"/>
        </w:sectPr>
      </w:pPr>
    </w:p>
    <w:p w14:paraId="7473EC3A"/>
    <w:p>
      <w:pPr>
        <w:spacing w:before="240" w:after="80"/>
      </w:pPr>
      <w:r>
        <w:rPr>
          <w:rFonts w:ascii="Times New Roman" w:hAnsi="Times New Roman"/>
          <w:b/>
          <w:sz w:val="24"/>
          <w:rFonts w:eastAsia="黑体"/>
        </w:rPr>
        <w:t>【附：《心房搜查令》演职人员角色与分工对应表】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864"/>
            <w:shd w:fill="F2F4F7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  <w:rFonts w:ascii="Times New Roman" w:hAnsi="Times New Roman" w:eastAsia="黑体" w:cs="Times New Roman"/>
              </w:rPr>
              <w:t>序号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  <w:rFonts w:ascii="Times New Roman" w:hAnsi="Times New Roman" w:eastAsia="黑体" w:cs="Times New Roman"/>
              </w:rPr>
              <w:t>角色名称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  <w:rFonts w:ascii="Times New Roman" w:hAnsi="Times New Roman" w:eastAsia="黑体" w:cs="Times New Roman"/>
              </w:rPr>
              <w:t>演员姓名</w:t>
            </w:r>
          </w:p>
        </w:tc>
        <w:tc>
          <w:tcPr>
            <w:tcW w:type="dxa" w:w="3168"/>
            <w:shd w:fill="F2F4F7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  <w:rFonts w:ascii="Times New Roman" w:hAnsi="Times New Roman" w:eastAsia="黑体" w:cs="Times New Roman"/>
              </w:rPr>
              <w:t>班级 / 专业</w:t>
            </w:r>
          </w:p>
        </w:tc>
        <w:tc>
          <w:tcPr>
            <w:tcW w:type="dxa" w:w="4608"/>
            <w:shd w:fill="F2F4F7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  <w:rFonts w:ascii="Times New Roman" w:hAnsi="Times New Roman" w:eastAsia="黑体" w:cs="Times New Roman"/>
              </w:rPr>
              <w:t>剧情角色定位与特征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  <w:rFonts w:ascii="Times New Roman" w:hAnsi="Times New Roman" w:eastAsia="黑体" w:cs="Times New Roman"/>
              </w:rPr>
              <w:t>舞台兼任工作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赵学衡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赵学衡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2024级数据科学与大数据技术班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大三医学生，自律表象下的知识囤积与冒名顶替综合征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主演（执念与释怀）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郝朋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郝朋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2024级数据科学与大数据技术班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班级心理委员，机敏温和的“心房搜查官”与情志引航者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主演 / 剧组负责人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程澄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程澄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2024级数据科学与大数据技术班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室友甲，直率风趣的现实观察者与同伴支持力量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主演 / 道具与场控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林凡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林凡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2024级数据科学与大数据技术班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 w:line="28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室友乙，通达沉稳的知心伙伴，引导情志疏导与接纳自我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  <w:rFonts w:ascii="Times New Roman" w:hAnsi="Times New Roman" w:eastAsia="仿宋" w:cs="Times New Roman"/>
              </w:rPr>
              <w:t>主演 / 竹笛现场演奏</w:t>
            </w:r>
          </w:p>
        </w:tc>
      </w:tr>
    </w:tbl>
    <w:p>
      <w:pPr>
        <w:spacing w:before="200" w:after="40" w:line="320" w:lineRule="exact"/>
      </w:pPr>
      <w:r>
        <w:rPr>
          <w:rFonts w:ascii="Times New Roman" w:hAnsi="Times New Roman"/>
          <w:color w:val="505050"/>
          <w:sz w:val="19"/>
          <w:rFonts w:eastAsia="仿宋"/>
        </w:rPr>
        <w:t>【剧目亮点与舞台呈现说明】</w:t>
        <w:br/>
        <w:t>1. 剧目立意：聚焦大学校园高频心理痛点，借《人民的名义》搜查框架隐喻潜意识探索，直击“知识囤积障碍”与“冒名顶替综合征”，具有极高艺术感染力与普遍现实共鸣；</w:t>
        <w:br/>
        <w:t>2. 中医特色：深度融入中医药大学专业特色，引用《黄帝内经》“思则气结、土壅木郁”病机，结合“五音疗疾”（现场紫竹笛独奏《清心引》）化解气滞，展示传统医学情志调护智慧；</w:t>
        <w:br/>
        <w:t>3. 技术规范：表演时长严格控制在 12-14 分钟以内；配套全套 16:9 高清大屏现场放映 PPT（含双屏演讲者备注精准提示），实现灯光、音效、台词与大屏视听的高度同步。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115CAE"/>
    <w:rsid w:val="4311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_GB2312" w:hAnsi="华文中宋" w:eastAsia="仿宋_GB2312" w:cs="Times New Roman"/>
      <w:kern w:val="2"/>
      <w:sz w:val="32"/>
      <w:szCs w:val="3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/>
      <w:sz w:val="18"/>
      <w:szCs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2026-09-21T06:25:00Z</dcterms:created>
  <dc:creator>209</dc:creator>
  <cp:lastModifiedBy>209</cp:lastModifiedBy>
  <dcterms:modified xsi:type="dcterms:W3CDTF">2026-09-21T06:25:32Z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661F58E002324FF7BEF3D0336A7F1D69_11</vt:lpwstr>
  </property>
  <property fmtid="{D5CDD505-2E9C-101B-9397-08002B2CF9AE}" pid="4" name="KSOTemplateDocerSaveRecord">
    <vt:lpwstr>eyJoZGlkIjoiZGE2ZDg4ZTIwOGI5MmE4YTI5MzlhNDE1YTBmMzA1YTciLCJ1c2VySWQiOiIxODM5NjI3MzkzIn0=</vt:lpwstr>
  </property>
</Properties>
</file>