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F5375" w14:textId="2F02C20B" w:rsidR="00E114EB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EXCELENTÍSSIMO(A) SENHOR(A) DOUTOR(A) JUIZ(A) DE DIREITO DA VARA CÍVEL DA COMARCA DE MACAPÁ/AP</w:t>
      </w:r>
    </w:p>
    <w:p w14:paraId="46C097A3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67CF2DFF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A67F990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55DC380" w14:textId="723A2D05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SIMONE MARQUES MARTINS SEPEDA, brasileira, estado civil [A PREENCHER], profissão [A PREENCHER], portadora do RG nº 040825 e CPF nº 324.863.672-68, residente e domiciliada na Rua Carlos Gomes, nº 301, Bairro Jesus de Nazaré, Macapá/AP, CEP 68.908-125, por meio de sua advogada que esta subscreve, vem, respeitosamente, à presença de Vossa Excelência, propor a presente</w:t>
      </w:r>
    </w:p>
    <w:p w14:paraId="2B0BD943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69A3B1B" w14:textId="25DA4657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AÇÃO REVISIONAL DE CONTRATOS BANCÁRIOS COM PEDIDO DE TUTELA DE URGÊNCIA</w:t>
      </w:r>
    </w:p>
    <w:p w14:paraId="5FC85C4E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DFD73C4" w14:textId="4CAD2C57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em face de </w:t>
      </w:r>
      <w:r>
        <w:rPr>
          <w:rFonts w:ascii="Arial" w:hAnsi="Arial" w:cs="Arial"/>
          <w:b/>
          <w:sz w:val="24"/>
        </w:rPr>
        <w:t>MIDWAY S.A. – CRÉDITO, FINANCIAMENTO E INVESTIMENTO</w:t>
      </w:r>
      <w:r>
        <w:rPr>
          <w:rFonts w:ascii="Arial" w:hAnsi="Arial" w:cs="Arial"/>
          <w:sz w:val="24"/>
        </w:rPr>
        <w:t>, instituição financeira com sede na Rua Lemos Monteiro, 120, 15º Andar, Edifício Pinheiros One, Bairro Butantã, São Paulo/SP, CEP 05.501-050, inscrita no CNPJ/ME sob o nº 09.464.032/0001-12, pelos fatos e fundamentos jurídicos a seguir expostos.</w:t>
      </w:r>
    </w:p>
    <w:p w14:paraId="302BC1BD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16C6817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A22145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8636FC4" w14:textId="09C38C0C" w:rsidR="008102A2" w:rsidRDefault="008102A2" w:rsidP="008102A2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I — DOS FATOS</w:t>
      </w:r>
    </w:p>
    <w:p w14:paraId="11F6A084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53210AD" w14:textId="7BBFA7EF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Em 18 de fevereiro de 2026, a Autora celebrou com a Ré a </w:t>
      </w:r>
      <w:r>
        <w:rPr>
          <w:rFonts w:ascii="Arial" w:hAnsi="Arial" w:cs="Arial"/>
          <w:b/>
          <w:sz w:val="24"/>
        </w:rPr>
        <w:t>primeira Cédula de Crédito Bancário nº 75805602</w:t>
      </w:r>
      <w:r>
        <w:rPr>
          <w:rFonts w:ascii="Arial" w:hAnsi="Arial" w:cs="Arial"/>
          <w:sz w:val="24"/>
        </w:rPr>
        <w:t xml:space="preserve"> (Crédito Pessoal), por meio da qual tomou emprestado o valor líquido de </w:t>
      </w:r>
      <w:r>
        <w:rPr>
          <w:rFonts w:ascii="Arial" w:hAnsi="Arial" w:cs="Arial"/>
          <w:b/>
          <w:sz w:val="24"/>
        </w:rPr>
        <w:t>R$ 5.000,00 (cinco mil reais)</w:t>
      </w:r>
      <w:r>
        <w:rPr>
          <w:rFonts w:ascii="Arial" w:hAnsi="Arial" w:cs="Arial"/>
          <w:sz w:val="24"/>
        </w:rPr>
        <w:t>, a ser restituído em 30 (trinta) parcelas mensais de R$ 775,06, com vencimento da primeira em 16/03/2026 e da última em 16/08/2028.</w:t>
      </w:r>
    </w:p>
    <w:p w14:paraId="7BA90975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57F3C05" w14:textId="1E4EDF74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Decorridos apenas </w:t>
      </w:r>
      <w:r>
        <w:rPr>
          <w:rFonts w:ascii="Arial" w:hAnsi="Arial" w:cs="Arial"/>
          <w:b/>
          <w:sz w:val="24"/>
        </w:rPr>
        <w:t>19 (dezenove) dias</w:t>
      </w:r>
      <w:r>
        <w:rPr>
          <w:rFonts w:ascii="Arial" w:hAnsi="Arial" w:cs="Arial"/>
          <w:sz w:val="24"/>
        </w:rPr>
        <w:t xml:space="preserve">, em 09 de março de 2026, a mesma Ré concedeu à Autora uma </w:t>
      </w:r>
      <w:r>
        <w:rPr>
          <w:rFonts w:ascii="Arial" w:hAnsi="Arial" w:cs="Arial"/>
          <w:b/>
          <w:sz w:val="24"/>
        </w:rPr>
        <w:t>segunda Cédula de Crédito Bancário nº 75825597</w:t>
      </w:r>
      <w:r>
        <w:rPr>
          <w:rFonts w:ascii="Arial" w:hAnsi="Arial" w:cs="Arial"/>
          <w:sz w:val="24"/>
        </w:rPr>
        <w:t xml:space="preserve">, desta feita no valor líquido de </w:t>
      </w:r>
      <w:r>
        <w:rPr>
          <w:rFonts w:ascii="Arial" w:hAnsi="Arial" w:cs="Arial"/>
          <w:b/>
          <w:sz w:val="24"/>
        </w:rPr>
        <w:t>R$ 6.372,78 (seis mil, trezentos e setenta e dois reais e setenta e oito centavos)</w:t>
      </w:r>
      <w:r>
        <w:rPr>
          <w:rFonts w:ascii="Arial" w:hAnsi="Arial" w:cs="Arial"/>
          <w:sz w:val="24"/>
        </w:rPr>
        <w:t>, a ser restituído em outras 30 (trinta) parcelas mensais de R$ 994,60, com vencimento da primeira em 06/04/2026 e da última em 06/09/2028.</w:t>
      </w:r>
    </w:p>
    <w:p w14:paraId="56247B86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07CE1E0" w14:textId="21F6B094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Ambos os contratos foram celebrados com a </w:t>
      </w:r>
      <w:r>
        <w:rPr>
          <w:rFonts w:ascii="Arial" w:hAnsi="Arial" w:cs="Arial"/>
          <w:b/>
          <w:sz w:val="24"/>
        </w:rPr>
        <w:t>mesma taxa de juros de 13,75% ao mês</w:t>
      </w:r>
      <w:r>
        <w:rPr>
          <w:rFonts w:ascii="Arial" w:hAnsi="Arial" w:cs="Arial"/>
          <w:sz w:val="24"/>
        </w:rPr>
        <w:t>, pelo mesmo credor, com o mesmo seguro prestamista compulsoriamente embutido — e sem que a Ré verificasse, conforme exige a Lei 14.181/2021, a real capacidade de pagamento da Autora antes de conceder o segundo crédito.</w:t>
      </w:r>
    </w:p>
    <w:p w14:paraId="3F57D9BB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0A7C6863" w14:textId="21BA2E52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O resultado é devastador: a Autora, que recebeu efetivamente </w:t>
      </w:r>
      <w:r>
        <w:rPr>
          <w:rFonts w:ascii="Arial" w:hAnsi="Arial" w:cs="Arial"/>
          <w:b/>
          <w:sz w:val="24"/>
        </w:rPr>
        <w:t>R$ 11.372,78 (onze mil, trezentos e setenta e dois reais e setenta e oito centavos)</w:t>
      </w:r>
      <w:r>
        <w:rPr>
          <w:rFonts w:ascii="Arial" w:hAnsi="Arial" w:cs="Arial"/>
          <w:sz w:val="24"/>
        </w:rPr>
        <w:t xml:space="preserve">, passou a dever </w:t>
      </w:r>
      <w:r>
        <w:rPr>
          <w:rFonts w:ascii="Arial" w:hAnsi="Arial" w:cs="Arial"/>
          <w:b/>
          <w:sz w:val="24"/>
        </w:rPr>
        <w:t>R$ 53.089,80 (cinquenta e três mil e oitenta e nove reais e oitenta centavos)</w:t>
      </w:r>
      <w:r>
        <w:rPr>
          <w:rFonts w:ascii="Arial" w:hAnsi="Arial" w:cs="Arial"/>
          <w:sz w:val="24"/>
        </w:rPr>
        <w:t xml:space="preserve"> — comprometendo </w:t>
      </w:r>
      <w:r>
        <w:rPr>
          <w:rFonts w:ascii="Arial" w:hAnsi="Arial" w:cs="Arial"/>
          <w:b/>
          <w:sz w:val="24"/>
        </w:rPr>
        <w:t>R$ 1.769,66 (um mil, setecentos e sessenta e nove reais e sessenta e seis centavos) por mês</w:t>
      </w:r>
      <w:r>
        <w:rPr>
          <w:rFonts w:ascii="Arial" w:hAnsi="Arial" w:cs="Arial"/>
          <w:sz w:val="24"/>
        </w:rPr>
        <w:t xml:space="preserve"> em parcelas simultâneas dos dois contratos, o que representa </w:t>
      </w:r>
      <w:r>
        <w:rPr>
          <w:rFonts w:ascii="Arial" w:hAnsi="Arial" w:cs="Arial"/>
          <w:b/>
          <w:sz w:val="24"/>
        </w:rPr>
        <w:t>366,8% (trezentos e sessenta e seis virgula oito por cento)</w:t>
      </w:r>
      <w:r>
        <w:rPr>
          <w:rFonts w:ascii="Arial" w:hAnsi="Arial" w:cs="Arial"/>
          <w:sz w:val="24"/>
        </w:rPr>
        <w:t xml:space="preserve"> do total que recebeu.</w:t>
      </w:r>
    </w:p>
    <w:p w14:paraId="6F2CAC34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C17EBC9" w14:textId="1B6F7BA0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Além dos juros remuneratórios estipulados à taxa de </w:t>
      </w:r>
      <w:r>
        <w:rPr>
          <w:rFonts w:ascii="Arial" w:hAnsi="Arial" w:cs="Arial"/>
          <w:b/>
          <w:sz w:val="24"/>
        </w:rPr>
        <w:t>13,75% ao mês (369,26% ao ano)</w:t>
      </w:r>
      <w:r>
        <w:rPr>
          <w:rFonts w:ascii="Arial" w:hAnsi="Arial" w:cs="Arial"/>
          <w:sz w:val="24"/>
        </w:rPr>
        <w:t xml:space="preserve">, muito acima da média praticada pelo mercado financeiro para operações da mesma espécie, o contrato embutiu o valor de </w:t>
      </w:r>
      <w:r>
        <w:rPr>
          <w:rFonts w:ascii="Arial" w:hAnsi="Arial" w:cs="Arial"/>
          <w:b/>
          <w:sz w:val="24"/>
        </w:rPr>
        <w:t>R$ 350,00</w:t>
      </w:r>
      <w:r>
        <w:rPr>
          <w:rFonts w:ascii="Arial" w:hAnsi="Arial" w:cs="Arial"/>
          <w:sz w:val="24"/>
        </w:rPr>
        <w:t xml:space="preserve"> a título de prêmio de seguro prestamista, sem que à Autora fosse dada real possibilidade de recusa, configurando venda casada vedada pelo Código de Defesa do Consumidor.</w:t>
      </w:r>
    </w:p>
    <w:p w14:paraId="0A69645B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6490193" w14:textId="1358B0D2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Verificou-se, ainda, contradição expressa no instrumento contratual: enquanto o </w:t>
      </w:r>
      <w:r>
        <w:rPr>
          <w:rFonts w:ascii="Arial" w:hAnsi="Arial" w:cs="Arial"/>
          <w:b/>
          <w:sz w:val="24"/>
        </w:rPr>
        <w:t>Quadro III, item 18</w:t>
      </w:r>
      <w:r>
        <w:rPr>
          <w:rFonts w:ascii="Arial" w:hAnsi="Arial" w:cs="Arial"/>
          <w:sz w:val="24"/>
        </w:rPr>
        <w:t xml:space="preserve">, estipula multa moratória de </w:t>
      </w:r>
      <w:r>
        <w:rPr>
          <w:rFonts w:ascii="Arial" w:hAnsi="Arial" w:cs="Arial"/>
          <w:b/>
          <w:sz w:val="24"/>
        </w:rPr>
        <w:t>0% (zero por cento)</w:t>
      </w:r>
      <w:r>
        <w:rPr>
          <w:rFonts w:ascii="Arial" w:hAnsi="Arial" w:cs="Arial"/>
          <w:sz w:val="24"/>
        </w:rPr>
        <w:t xml:space="preserve">, a cláusula 3 das condições gerais prevê multa de </w:t>
      </w:r>
      <w:r>
        <w:rPr>
          <w:rFonts w:ascii="Arial" w:hAnsi="Arial" w:cs="Arial"/>
          <w:b/>
          <w:sz w:val="24"/>
        </w:rPr>
        <w:t>2% ao mês</w:t>
      </w:r>
      <w:r>
        <w:rPr>
          <w:rFonts w:ascii="Arial" w:hAnsi="Arial" w:cs="Arial"/>
          <w:sz w:val="24"/>
        </w:rPr>
        <w:t xml:space="preserve"> sobre o valor em atraso — antinomia que, nos termos do CDC e do Código Civil, deve ser resolvida em favor da Autora.</w:t>
      </w:r>
    </w:p>
    <w:p w14:paraId="056EA5C1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7362F63" w14:textId="4DCBAC39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Acresce que a </w:t>
      </w:r>
      <w:r>
        <w:rPr>
          <w:rFonts w:ascii="Arial" w:hAnsi="Arial" w:cs="Arial"/>
          <w:b/>
          <w:sz w:val="24"/>
        </w:rPr>
        <w:t>cláusula 9, item (iii)</w:t>
      </w:r>
      <w:r>
        <w:rPr>
          <w:rFonts w:ascii="Arial" w:hAnsi="Arial" w:cs="Arial"/>
          <w:sz w:val="24"/>
        </w:rPr>
        <w:t>, veda à Autora o direito de invocar os artigos 317, 393, 478, 479 e 480 do Código Civil — dispositivos que asseguram revisão contratual em casos de onerosidade excessiva e força maior —, cláusula que é nula de pleno direito por importar em renúncia antecipada a direitos irrenunciáveis.</w:t>
      </w:r>
    </w:p>
    <w:p w14:paraId="651852DE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769A466" w14:textId="1A6E583E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Por fim, a </w:t>
      </w:r>
      <w:r>
        <w:rPr>
          <w:rFonts w:ascii="Arial" w:hAnsi="Arial" w:cs="Arial"/>
          <w:b/>
          <w:sz w:val="24"/>
        </w:rPr>
        <w:t>cláusula 2.1</w:t>
      </w:r>
      <w:r>
        <w:rPr>
          <w:rFonts w:ascii="Arial" w:hAnsi="Arial" w:cs="Arial"/>
          <w:sz w:val="24"/>
        </w:rPr>
        <w:t xml:space="preserve"> autoriza a Ré a debitar os valores devidos em qualquer conta de titularidade da Autora, inclusive mediante uso de limite de crédito, o que pode resultar em endividamento em cascata e impõe restrição abusiva ao patrimônio da consumidora.</w:t>
      </w:r>
    </w:p>
    <w:p w14:paraId="176CF7C0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1AEFF1D" w14:textId="717DC7F6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Diante desse cenário de manifesta abusividade, não resta alternativa senão buscar a tutela jurisdicional para revisão do contrato, com expurgo dos encargos ilegais e devolução dos valores indevidamente cobrados.</w:t>
      </w:r>
    </w:p>
    <w:p w14:paraId="4F8CEAE5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0B90061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894635B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7706001" w14:textId="6D1FE3CC" w:rsidR="008102A2" w:rsidRDefault="008102A2" w:rsidP="008102A2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II — DO DIREITO</w:t>
      </w:r>
    </w:p>
    <w:p w14:paraId="0461D49C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5C75A84" w14:textId="6BE84AF3" w:rsidR="008102A2" w:rsidRDefault="008102A2" w:rsidP="008102A2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2.1 Da aplicabilidade do Código de Defesa do Consumidor</w:t>
      </w:r>
    </w:p>
    <w:p w14:paraId="3C1B672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0B741EE4" w14:textId="0A7EABD7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relação jurídica estabelecida entre a Autora e a Ré é de consumo, porquanto a Ré é fornecedora de serviços financeiros (CDC, art. 3º, § 2º) e a Autora, destinatária final. A incidência do Código de Defesa do Consumidor às instituições financeiras é matéria pacificada pelo Superior Tribunal de Justiça:</w:t>
      </w:r>
    </w:p>
    <w:p w14:paraId="7E440DA5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39B5916" w14:textId="19B56D46" w:rsidR="008102A2" w:rsidRDefault="008102A2" w:rsidP="008102A2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*"O Código de Defesa do Consumidor é aplicável às instituições financeiras."*</w:t>
      </w:r>
    </w:p>
    <w:p w14:paraId="572360E7" w14:textId="03495510" w:rsidR="008102A2" w:rsidRDefault="008102A2" w:rsidP="008102A2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(STJ, Súmula 297)</w:t>
      </w:r>
    </w:p>
    <w:p w14:paraId="520BCA2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6F983117" w14:textId="3CA03F69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Ademais, o STF, no julgamento da ADI 2.591, confirmou a plena aplicação do CDC aos contratos bancários.</w:t>
      </w:r>
    </w:p>
    <w:p w14:paraId="18BA133E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0255CE9" w14:textId="246A21F3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Nessa condição, a Autora faz jus à revisão das cláusulas abusivas (CDC, art. 6º, V) e à nulidade das disposições que estabeleçam obrigações iníquas ou incompatíveis com a boa-fé (CDC, art. 51, IV).</w:t>
      </w:r>
    </w:p>
    <w:p w14:paraId="5A27EB71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C249258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C48E664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671BDA1" w14:textId="6484ACFE" w:rsidR="008102A2" w:rsidRDefault="008102A2" w:rsidP="008102A2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2.2 Dos juros remuneratórios abusivos</w:t>
      </w:r>
    </w:p>
    <w:p w14:paraId="3FB529B9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9E0F8E0" w14:textId="781EA260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Os juros remuneratórios pactuados no contrato em questão correspondem a </w:t>
      </w:r>
      <w:r>
        <w:rPr>
          <w:rFonts w:ascii="Arial" w:hAnsi="Arial" w:cs="Arial"/>
          <w:b/>
          <w:sz w:val="24"/>
        </w:rPr>
        <w:t>13,75% ao mês e 369,26% ao ano</w:t>
      </w:r>
      <w:r>
        <w:rPr>
          <w:rFonts w:ascii="Arial" w:hAnsi="Arial" w:cs="Arial"/>
          <w:sz w:val="24"/>
        </w:rPr>
        <w:t>, taxa muito superior à média praticada pelo mercado para operações de crédito pessoal não consignado, conforme dados públicos divulgados pelo Banco Central do Brasil.</w:t>
      </w:r>
    </w:p>
    <w:p w14:paraId="4D39FE05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689EA46B" w14:textId="29168014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 Superior Tribunal de Justiça, no julgamento do REsp 1.061.530/RS (Tema 27, repetitivo), fixou a seguinte tese:</w:t>
      </w:r>
    </w:p>
    <w:p w14:paraId="2647D41B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3B79C69" w14:textId="25F82ECE" w:rsidR="008102A2" w:rsidRDefault="008102A2" w:rsidP="008102A2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*"É admitida a revisão das taxas de juros remuneratórios em situações excepcionais, desde que caracterizada a relação de consumo e que a abusividade (juros excessivos) fique cabalmente demonstrada, ante as peculiaridades do julgamento em concreto."*</w:t>
      </w:r>
    </w:p>
    <w:p w14:paraId="4F1183B9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F3732F8" w14:textId="19DCF230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abusividade é aferida pela comparação com a taxa média de mercado apurada pelo Banco Central para a mesma modalidade de crédito (Resolução BACEN nº 4.559/2017). Considerando que a taxa contratada excede em mais de três vezes a taxa média de mercado para a mesma categoria de operação, sua revisão judicial é medida que se impõe, sob pena de enriquecimento ilícito da Ré (CC, art. 884).</w:t>
      </w:r>
    </w:p>
    <w:p w14:paraId="61DB67DE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CC5D087" w14:textId="4BDDBFB5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Requer-se, portanto, a redução da taxa de juros remuneratórios para a média de mercado apurada pelo Banco Central do Brasil na data da contratação (18/02/2026), para a modalidade de crédito pessoal não consignado, com recálculo de todo o saldo devedor.</w:t>
      </w:r>
    </w:p>
    <w:p w14:paraId="2EAED10C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318578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344BC84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5192F1B" w14:textId="2230DF06" w:rsidR="008102A2" w:rsidRDefault="008102A2" w:rsidP="008102A2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2.3 Do seguro prestamista — venda casada</w:t>
      </w:r>
    </w:p>
    <w:p w14:paraId="45A2DE9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B3A6006" w14:textId="403E35F7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O contrato incluiu no valor financiado o prêmio de seguro prestamista no montante de </w:t>
      </w:r>
      <w:r>
        <w:rPr>
          <w:rFonts w:ascii="Arial" w:hAnsi="Arial" w:cs="Arial"/>
          <w:b/>
          <w:sz w:val="24"/>
        </w:rPr>
        <w:t>R$ 350,00</w:t>
      </w:r>
      <w:r>
        <w:rPr>
          <w:rFonts w:ascii="Arial" w:hAnsi="Arial" w:cs="Arial"/>
          <w:sz w:val="24"/>
        </w:rPr>
        <w:t>, em nome da seguradora Zurich, sem que à Autora fosse conferida opção efetiva e real de não contratar o referido seguro. A proposta de adesão, embora contenha a declaração de que "a contratação do seguro é opcional", contraditoriamente apresenta o valor já embutido no total financiado, caracterizando consentimento viciado.</w:t>
      </w:r>
    </w:p>
    <w:p w14:paraId="4CB5F0D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DE200D2" w14:textId="063FD7D2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Tal prática configura </w:t>
      </w:r>
      <w:r>
        <w:rPr>
          <w:rFonts w:ascii="Arial" w:hAnsi="Arial" w:cs="Arial"/>
          <w:b/>
          <w:sz w:val="24"/>
        </w:rPr>
        <w:t>venda casada</w:t>
      </w:r>
      <w:r>
        <w:rPr>
          <w:rFonts w:ascii="Arial" w:hAnsi="Arial" w:cs="Arial"/>
          <w:sz w:val="24"/>
        </w:rPr>
        <w:t>, vedada pelo artigo 39, inciso I, do CDC:</w:t>
      </w:r>
    </w:p>
    <w:p w14:paraId="7ABAA726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952B086" w14:textId="744AF8F7" w:rsidR="008102A2" w:rsidRDefault="008102A2" w:rsidP="008102A2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*"É vedado ao fornecedor de produtos ou serviços, dentre outras práticas abusivas: I — condicionar o fornecimento de produto ou de serviço ao fornecimento de outro produto ou serviço."*</w:t>
      </w:r>
    </w:p>
    <w:p w14:paraId="183877C8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E2DBF4C" w14:textId="4C109E33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 Superior Tribunal de Justiça, no julgamento do REsp 1.639.320/SP, reafirmou que a imposição de seguro prestamista como condição para a concessão do crédito é prática abusiva, cabendo ao consumidor o direito à restituição do valor pago:</w:t>
      </w:r>
    </w:p>
    <w:p w14:paraId="5DE4057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37C5484" w14:textId="43C31C47" w:rsidR="008102A2" w:rsidRDefault="008102A2" w:rsidP="008102A2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*"É abusiva a prática de vincular a contratação de financiamento à aquisição compulsória de seguro de proteção financeira."*</w:t>
      </w:r>
    </w:p>
    <w:p w14:paraId="117A9026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3EFFE91" w14:textId="4D5522D3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Requer-se, assim, a declaração de nulidade da cláusula referente ao seguro prestamista e a condenação da Ré à restituição de </w:t>
      </w:r>
      <w:r>
        <w:rPr>
          <w:rFonts w:ascii="Arial" w:hAnsi="Arial" w:cs="Arial"/>
          <w:b/>
          <w:sz w:val="24"/>
        </w:rPr>
        <w:t>R$ 350,00 (trezentos e cinquenta reais)</w:t>
      </w:r>
      <w:r>
        <w:rPr>
          <w:rFonts w:ascii="Arial" w:hAnsi="Arial" w:cs="Arial"/>
          <w:sz w:val="24"/>
        </w:rPr>
        <w:t>, corrigidos monetariamente pelo INPC desde o desembolso e acrescidos de juros de mora de 1% ao mês desde a citação.</w:t>
      </w:r>
    </w:p>
    <w:p w14:paraId="03C6E06C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B5B9366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36B38AC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8E31ACA" w14:textId="4B8787A1" w:rsidR="008102A2" w:rsidRDefault="008102A2" w:rsidP="008102A2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2.4 Da nulidade da cláusula de renúncia a direitos — cláusula 9(iii)</w:t>
      </w:r>
    </w:p>
    <w:p w14:paraId="0CCEB5A0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0A41E01" w14:textId="531FCED3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cláusula 9, item (iii), do contrato estabelece que a Autora "não poderá invocar o disposto nos artigos 317, 393, 478, 479 e 480 do Código Civil em eventual cenário de disputa relacionada a esta CCB".</w:t>
      </w:r>
    </w:p>
    <w:p w14:paraId="05CFA1D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F77B005" w14:textId="2DA8B856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Os dispositivos objeto da vedação garantem ao contratante:</w:t>
      </w:r>
    </w:p>
    <w:p w14:paraId="76831B67" w14:textId="1EBF2DFD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Art. 317: Revisão das prestações em razão de desvalorização superveniente da moeda;</w:t>
      </w:r>
    </w:p>
    <w:p w14:paraId="5DCC26DB" w14:textId="7BFB8994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Art. 393: Afastamento de responsabilidade em caso de força maior ou caso fortuito;</w:t>
      </w:r>
    </w:p>
    <w:p w14:paraId="736A847D" w14:textId="5869B634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Arts. 478 a 480: Resolução ou revisão do contrato por onerosidade excessiva superveniente.</w:t>
      </w:r>
    </w:p>
    <w:p w14:paraId="46D09E64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8FB318D" w14:textId="77A8AC7C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Trata-se de direitos irrenunciáveis, instituídos em benefício da parte vulnerável da relação contratual. Sua supressão prévia em contrato de adesão é nula de pleno direito, nos termos do artigo 424 do Código Civil:</w:t>
      </w:r>
    </w:p>
    <w:p w14:paraId="73C539D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8F54FE7" w14:textId="16071E79" w:rsidR="008102A2" w:rsidRDefault="008102A2" w:rsidP="008102A2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*"Nos contratos de adesão, são nulas as cláusulas que estipulem a renúncia antecipada do aderente a direito resultante da natureza do negócio."*</w:t>
      </w:r>
    </w:p>
    <w:p w14:paraId="77A8831F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8984C91" w14:textId="75BE25F2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Requer-se a declaração de nulidade da referida cláusula, com fundamento no CDC, art. 51, I e XV, e no CC, art. 424.</w:t>
      </w:r>
    </w:p>
    <w:p w14:paraId="3BADC60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04ED153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39806B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D64D619" w14:textId="00767306" w:rsidR="008102A2" w:rsidRDefault="008102A2" w:rsidP="008102A2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2.5 Da antinomia relativa à multa moratória</w:t>
      </w:r>
    </w:p>
    <w:p w14:paraId="1024252C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8BD80F5" w14:textId="067EC44F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O </w:t>
      </w:r>
      <w:r>
        <w:rPr>
          <w:rFonts w:ascii="Arial" w:hAnsi="Arial" w:cs="Arial"/>
          <w:b/>
          <w:sz w:val="24"/>
        </w:rPr>
        <w:t>Quadro III, item 18</w:t>
      </w:r>
      <w:r>
        <w:rPr>
          <w:rFonts w:ascii="Arial" w:hAnsi="Arial" w:cs="Arial"/>
          <w:sz w:val="24"/>
        </w:rPr>
        <w:t xml:space="preserve">, do contrato — parte destacada e de leitura imediata pelo consumidor — estipula </w:t>
      </w:r>
      <w:r>
        <w:rPr>
          <w:rFonts w:ascii="Arial" w:hAnsi="Arial" w:cs="Arial"/>
          <w:b/>
          <w:sz w:val="24"/>
        </w:rPr>
        <w:t>multa de 0% (zero por cento)</w:t>
      </w:r>
      <w:r>
        <w:rPr>
          <w:rFonts w:ascii="Arial" w:hAnsi="Arial" w:cs="Arial"/>
          <w:sz w:val="24"/>
        </w:rPr>
        <w:t xml:space="preserve">. Já a </w:t>
      </w:r>
      <w:r>
        <w:rPr>
          <w:rFonts w:ascii="Arial" w:hAnsi="Arial" w:cs="Arial"/>
          <w:b/>
          <w:sz w:val="24"/>
        </w:rPr>
        <w:t>cláusula 3</w:t>
      </w:r>
      <w:r>
        <w:rPr>
          <w:rFonts w:ascii="Arial" w:hAnsi="Arial" w:cs="Arial"/>
          <w:sz w:val="24"/>
        </w:rPr>
        <w:t xml:space="preserve"> das condições gerais, inserida em letras miúdas, prevê multa moratória de </w:t>
      </w:r>
      <w:r>
        <w:rPr>
          <w:rFonts w:ascii="Arial" w:hAnsi="Arial" w:cs="Arial"/>
          <w:b/>
          <w:sz w:val="24"/>
        </w:rPr>
        <w:t>2% ao mês</w:t>
      </w:r>
      <w:r>
        <w:rPr>
          <w:rFonts w:ascii="Arial" w:hAnsi="Arial" w:cs="Arial"/>
          <w:sz w:val="24"/>
        </w:rPr>
        <w:t xml:space="preserve"> sobre o valor em atraso.</w:t>
      </w:r>
    </w:p>
    <w:p w14:paraId="03BB55C4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DA4BAE2" w14:textId="365003F2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contradição interna impõe a aplicação da regra do artigo 423 do Código Civil e do artigo 47 do CDC, que determinam que, em caso de ambiguidade ou contradição, prevalece a interpretação mais favorável ao consumidor/aderente. No caso em tela, prevalece o Quadro III: </w:t>
      </w:r>
      <w:r>
        <w:rPr>
          <w:rFonts w:ascii="Arial" w:hAnsi="Arial" w:cs="Arial"/>
          <w:b/>
          <w:sz w:val="24"/>
        </w:rPr>
        <w:t>multa de 0%</w:t>
      </w:r>
      <w:r>
        <w:rPr>
          <w:rFonts w:ascii="Arial" w:hAnsi="Arial" w:cs="Arial"/>
          <w:sz w:val="24"/>
        </w:rPr>
        <w:t>.</w:t>
      </w:r>
    </w:p>
    <w:p w14:paraId="3795819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0CA6F97E" w14:textId="7CBE12A3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Requer-se o reconhecimento da nulidade da previsão de multa moratória constante da cláusula 3, devendo prevalecer a redação do Quadro III.</w:t>
      </w:r>
    </w:p>
    <w:p w14:paraId="392A2D07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8857A0F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C4BC888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943407E" w14:textId="140DE4C4" w:rsidR="008102A2" w:rsidRDefault="008102A2" w:rsidP="008102A2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2.6 Do superendividamento e da concessão irresponsável de crédito — CCB nº 75825597</w:t>
      </w:r>
    </w:p>
    <w:p w14:paraId="544353C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9015B74" w14:textId="0466C7F4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Lei nº 14.181/2021 introduziu no Código de Defesa do Consumidor os artigos 54-A a 54-G, que disciplinam a prevenção e o tratamento do superendividamento do consumidor pessoa física. Seu artigo 54-D é explícito ao impor ao fornecedor de crédito o dever de verificar previamente a capacidade de pagamento do consumidor:</w:t>
      </w:r>
    </w:p>
    <w:p w14:paraId="193C5420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3EC1CFA" w14:textId="4892A829" w:rsidR="008102A2" w:rsidRDefault="008102A2" w:rsidP="008102A2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*"Na oferta de crédito e nas suas condições contratuais, o fornecedor deverá, entre outras condutas: I — informar e advertir adequadamente o consumidor sobre os riscos do endividamento; II — avaliar, de forma responsável, as condições de crédito do consumidor, incluindo a renda, as despesas, o histórico de crédito e o comprometimento da renda."*</w:t>
      </w:r>
    </w:p>
    <w:p w14:paraId="5A813C85" w14:textId="2AFBB07B" w:rsidR="008102A2" w:rsidRDefault="008102A2" w:rsidP="008102A2">
      <w:pPr>
        <w:ind w:left="850" w:right="850"/>
        <w:jc w:val="both"/>
        <w:rPr>
          <w:rFonts w:ascii="Arial" w:hAnsi="Arial" w:cs="Arial"/>
          <w:i/>
        </w:rPr>
      </w:pPr>
      <w:r>
        <w:rPr>
          <w:rFonts w:ascii="Arial" w:hAnsi="Arial" w:cs="Arial"/>
          <w:i/>
        </w:rPr>
        <w:t>(CDC, art. 54-D, incluído pela Lei 14.181/2021)</w:t>
      </w:r>
    </w:p>
    <w:p w14:paraId="778DC2F3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2D25CFD" w14:textId="1B99AFE6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Ré descumpriu integralmente esse dever. Em 09 de março de 2026, apenas </w:t>
      </w:r>
      <w:r>
        <w:rPr>
          <w:rFonts w:ascii="Arial" w:hAnsi="Arial" w:cs="Arial"/>
          <w:b/>
          <w:sz w:val="24"/>
        </w:rPr>
        <w:t>19 dias</w:t>
      </w:r>
      <w:r>
        <w:rPr>
          <w:rFonts w:ascii="Arial" w:hAnsi="Arial" w:cs="Arial"/>
          <w:sz w:val="24"/>
        </w:rPr>
        <w:t xml:space="preserve"> após ter concedido o primeiro empréstimo de R$ 5.000,00 à Autora — débito que a própria Ré tinha pleno conhecimento, já que é a mesma instituição credora —, concedeu um segundo empréstimo de R$ 6.372,78, sem qualquer avaliação responsável da capacidade de pagamento.</w:t>
      </w:r>
    </w:p>
    <w:p w14:paraId="332FF3E0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04B9766" w14:textId="1CB23972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O comprometimento mensal resultante é de </w:t>
      </w:r>
      <w:r>
        <w:rPr>
          <w:rFonts w:ascii="Arial" w:hAnsi="Arial" w:cs="Arial"/>
          <w:b/>
          <w:sz w:val="24"/>
        </w:rPr>
        <w:t>R$ 1.769,66</w:t>
      </w:r>
      <w:r>
        <w:rPr>
          <w:rFonts w:ascii="Arial" w:hAnsi="Arial" w:cs="Arial"/>
          <w:sz w:val="24"/>
        </w:rPr>
        <w:t xml:space="preserve"> em parcelas simultâneas. Desconsiderou-se solenemente o artigo 54-A do CDC, que veda práticas que levem o consumidor à situação de superendividamento, definida como a impossibilidade manifesta de pagamento do conjunto das dívidas de consumo vencidas e vincendas.</w:t>
      </w:r>
    </w:p>
    <w:p w14:paraId="036F689C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9EE0BED" w14:textId="70EE3E8A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 consequência jurídica prevista no próprio CDC é a </w:t>
      </w:r>
      <w:r>
        <w:rPr>
          <w:rFonts w:ascii="Arial" w:hAnsi="Arial" w:cs="Arial"/>
          <w:b/>
          <w:sz w:val="24"/>
        </w:rPr>
        <w:t>revisão ou resolução do contrato</w:t>
      </w:r>
      <w:r>
        <w:rPr>
          <w:rFonts w:ascii="Arial" w:hAnsi="Arial" w:cs="Arial"/>
          <w:sz w:val="24"/>
        </w:rPr>
        <w:t xml:space="preserve"> que gerou o superendividamento, podendo o Juízo determinar a repactuação das condições com preservação do mínimo existencial do consumidor (CDC, art. 54-F).</w:t>
      </w:r>
    </w:p>
    <w:p w14:paraId="45DC4620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3D18074" w14:textId="5BDF2A03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Requer-se, portanto, em relação à CCB nº 75825597: (i) a declaração de nulidade da cláusula referente ao seguro prestamista (R$ 446,09 — venda casada); (ii) a declaração de nulidade das mesmas cláusulas abusivas presentes no contrato 1 (cl. 9(iii), 2.1 e 3); e (iii) a revisão das condições do segundo contrato com fundamento no superendividamento, adequando o comprometimento mensal da Autora à sua capacidade real de pagamento, sob pena de lesão ao mínimo existencial.</w:t>
      </w:r>
    </w:p>
    <w:p w14:paraId="23058C7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6DE8BF2B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36D8F4C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3867B96" w14:textId="19400728" w:rsidR="008102A2" w:rsidRDefault="008102A2" w:rsidP="008102A2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2.7 Da cláusula de débito em qualquer conta — abusividade</w:t>
      </w:r>
    </w:p>
    <w:p w14:paraId="08FF040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E1921E9" w14:textId="0536CAEE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cláusula 2.1 do contrato autoriza a Ré a debitar os valores devidos em qualquer conta de titularidade da Autora, inclusive mediante uso do limite de crédito disponível. Referida autorização é excessivamente ampla e configura cláusula abusiva, pois:</w:t>
      </w:r>
    </w:p>
    <w:p w14:paraId="68D72174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A8B296D" w14:textId="07C11304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1. Permite o uso do cheque especial ou limite de crédito rotativo para pagamento de parcelas do empréstimo, gerando endividamento superposto;</w:t>
      </w:r>
    </w:p>
    <w:p w14:paraId="38DA6CE4" w14:textId="4AA72978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2. Pode atingir a </w:t>
      </w:r>
      <w:r>
        <w:rPr>
          <w:rFonts w:ascii="Arial" w:hAnsi="Arial" w:cs="Arial"/>
          <w:b/>
          <w:sz w:val="24"/>
        </w:rPr>
        <w:t>conta-salário</w:t>
      </w:r>
      <w:r>
        <w:rPr>
          <w:rFonts w:ascii="Arial" w:hAnsi="Arial" w:cs="Arial"/>
          <w:sz w:val="24"/>
        </w:rPr>
        <w:t xml:space="preserve"> da Autora, cujo bloqueio é vedado pela Lei nº 10.820/2003 e pela Resolução BACEN nº 4.292/2013, que protegem os créditos de natureza alimentar.</w:t>
      </w:r>
    </w:p>
    <w:p w14:paraId="27EE74ED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A53F289" w14:textId="218C3908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autorização genérica e irrestrita fere o artigo 51, IV, do CDC, que considera nulas as cláusulas que coloquem o consumidor em desvantagem exagerada ou que sejam incompatíveis com a boa-fé objetiva (CC, art. 422).</w:t>
      </w:r>
    </w:p>
    <w:p w14:paraId="656DF9C5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607D57CB" w14:textId="439DF9E9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Requer-se a declaração de nulidade parcial da cláusula 2.1, vedando-se à Ré o débito de parcelas do empréstimo mediante uso de limite de crédito ou sobre valores depositados a título de salário.</w:t>
      </w:r>
    </w:p>
    <w:p w14:paraId="127A6FB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07B15DE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40E6AF9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5ED4AA2" w14:textId="4B54DE20" w:rsidR="008102A2" w:rsidRDefault="008102A2" w:rsidP="008102A2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III — DA TUTELA DE URGÊNCIA</w:t>
      </w:r>
    </w:p>
    <w:p w14:paraId="7F657C33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8D62C21" w14:textId="2A89DC6B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Presentes os requisitos do artigo 300 do Código de Processo Civil — </w:t>
      </w:r>
      <w:r>
        <w:rPr>
          <w:rFonts w:ascii="Arial" w:hAnsi="Arial" w:cs="Arial"/>
          <w:b/>
          <w:sz w:val="24"/>
        </w:rPr>
        <w:t>fumus boni iuris</w:t>
      </w:r>
      <w:r>
        <w:rPr>
          <w:rFonts w:ascii="Arial" w:hAnsi="Arial" w:cs="Arial"/>
          <w:sz w:val="24"/>
        </w:rPr>
        <w:t xml:space="preserve"> e </w:t>
      </w:r>
      <w:r>
        <w:rPr>
          <w:rFonts w:ascii="Arial" w:hAnsi="Arial" w:cs="Arial"/>
          <w:b/>
          <w:sz w:val="24"/>
        </w:rPr>
        <w:t>periculum in mora</w:t>
      </w:r>
      <w:r>
        <w:rPr>
          <w:rFonts w:ascii="Arial" w:hAnsi="Arial" w:cs="Arial"/>
          <w:sz w:val="24"/>
        </w:rPr>
        <w:t xml:space="preserve"> —, requer-se tutela de urgência de natureza inibitória para:</w:t>
      </w:r>
    </w:p>
    <w:p w14:paraId="0A94EA93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6D335DA" w14:textId="05C3258C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a)</w:t>
      </w:r>
      <w:r>
        <w:rPr>
          <w:rFonts w:ascii="Arial" w:hAnsi="Arial" w:cs="Arial"/>
          <w:sz w:val="24"/>
        </w:rPr>
        <w:t xml:space="preserve"> Determinar à Ré que se abstenha de incluir ou manter o nome da Autora em cadastros de inadimplentes (SPC, Serasa, SCR/BACEN) durante o curso do processo, em razão dos encargos ora contestados;</w:t>
      </w:r>
    </w:p>
    <w:p w14:paraId="2C173C5F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D9DC377" w14:textId="2039CAB2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b)</w:t>
      </w:r>
      <w:r>
        <w:rPr>
          <w:rFonts w:ascii="Arial" w:hAnsi="Arial" w:cs="Arial"/>
          <w:sz w:val="24"/>
        </w:rPr>
        <w:t xml:space="preserve"> Determinar à Ré que se abstenha de efetuar débitos sobre eventual conta-salário ou mediante uso de limite de crédito da Autora enquanto pendente o julgamento;</w:t>
      </w:r>
    </w:p>
    <w:p w14:paraId="017D2A16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84FD2EF" w14:textId="04CF1193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c)</w:t>
      </w:r>
      <w:r>
        <w:rPr>
          <w:rFonts w:ascii="Arial" w:hAnsi="Arial" w:cs="Arial"/>
          <w:sz w:val="24"/>
        </w:rPr>
        <w:t xml:space="preserve"> Fixar multa diária (astreinte) de R$ 500,00 (quinhentos reais) por descumprimento de qualquer das medidas acima, nos termos do artigo 537 do CPC.</w:t>
      </w:r>
    </w:p>
    <w:p w14:paraId="75891D63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B414F2A" w14:textId="7417CB8A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O fumus boni iuris decorre da manifesta abusividade das taxas praticadas e da ilegalidade das cláusulas apontadas, amplamente reconhecida pela jurisprudência do Superior Tribunal de Justiça. O periculum in mora reside no risco concreto de inscrição do nome da Autora em cadastros de inadimplentes e de comprometimento do salário — seu único meio de subsistência — enquanto pendente a revisão judicial.</w:t>
      </w:r>
    </w:p>
    <w:p w14:paraId="220DB58C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E6E1251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EB70124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0492D183" w14:textId="0F7C2F90" w:rsidR="008102A2" w:rsidRDefault="008102A2" w:rsidP="008102A2">
      <w:pPr>
        <w:jc w:val="both"/>
        <w:rPr>
          <w:rFonts w:ascii="Arial" w:hAnsi="Arial" w:cs="Arial"/>
          <w:b/>
          <w:caps/>
          <w:sz w:val="24"/>
        </w:rPr>
      </w:pPr>
      <w:r>
        <w:rPr>
          <w:rFonts w:ascii="Arial" w:hAnsi="Arial" w:cs="Arial"/>
          <w:b/>
          <w:caps/>
          <w:sz w:val="24"/>
        </w:rPr>
        <w:t>IV — DOS PEDIDOS</w:t>
      </w:r>
    </w:p>
    <w:p w14:paraId="74E9CE3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0CB4983" w14:textId="51CFECB9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Ante o exposto, requer a Autora:</w:t>
      </w:r>
    </w:p>
    <w:p w14:paraId="50314FFF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60D3A874" w14:textId="1F5AC95B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a)</w:t>
      </w:r>
      <w:r>
        <w:rPr>
          <w:rFonts w:ascii="Arial" w:hAnsi="Arial" w:cs="Arial"/>
          <w:sz w:val="24"/>
        </w:rPr>
        <w:t xml:space="preserve"> A concessão da </w:t>
      </w:r>
      <w:r>
        <w:rPr>
          <w:rFonts w:ascii="Arial" w:hAnsi="Arial" w:cs="Arial"/>
          <w:b/>
          <w:sz w:val="24"/>
        </w:rPr>
        <w:t>tutela de urgência</w:t>
      </w:r>
      <w:r>
        <w:rPr>
          <w:rFonts w:ascii="Arial" w:hAnsi="Arial" w:cs="Arial"/>
          <w:sz w:val="24"/>
        </w:rPr>
        <w:t xml:space="preserve"> requerida no item III, determinando à Ré que: (i) se abstenha de inscrever ou manter a Autora em cadastros de inadimplentes em razão dos encargos ora contestados; (ii) se abstenha de debitar parcelas do empréstimo em conta-salário ou mediante uso de limite de crédito, sob pena de multa diária de R$ 500,00 (quinhentos reais);</w:t>
      </w:r>
    </w:p>
    <w:p w14:paraId="7B67E2CE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FF6183A" w14:textId="3DD6A18B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b)</w:t>
      </w:r>
      <w:r>
        <w:rPr>
          <w:rFonts w:ascii="Arial" w:hAnsi="Arial" w:cs="Arial"/>
          <w:sz w:val="24"/>
        </w:rPr>
        <w:t xml:space="preserve"> A </w:t>
      </w:r>
      <w:r>
        <w:rPr>
          <w:rFonts w:ascii="Arial" w:hAnsi="Arial" w:cs="Arial"/>
          <w:b/>
          <w:sz w:val="24"/>
        </w:rPr>
        <w:t>citação da Ré</w:t>
      </w:r>
      <w:r>
        <w:rPr>
          <w:rFonts w:ascii="Arial" w:hAnsi="Arial" w:cs="Arial"/>
          <w:sz w:val="24"/>
        </w:rPr>
        <w:t xml:space="preserve"> para, querendo, contestar o presente feito, sob pena de revelia;</w:t>
      </w:r>
    </w:p>
    <w:p w14:paraId="170439FF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2EB6A9F" w14:textId="56514339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c)</w:t>
      </w:r>
      <w:r>
        <w:rPr>
          <w:rFonts w:ascii="Arial" w:hAnsi="Arial" w:cs="Arial"/>
          <w:sz w:val="24"/>
        </w:rPr>
        <w:t xml:space="preserve"> A procedência do pedido, com julgamento de mérito, para:</w:t>
      </w:r>
    </w:p>
    <w:p w14:paraId="5ED8C8FB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36D5B03F" w14:textId="3ED7419F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Em relação à CCB nº 75805602 (contrato 1 — fev/2026):</w:t>
      </w:r>
    </w:p>
    <w:p w14:paraId="274108DB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0CB97C80" w14:textId="24A5F29F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c.1) Revisar a taxa de juros remuneratórios, reduzindo-a à média de mercado para crédito pessoal não consignado apurada pelo Banco Central do Brasil na data de 18/02/2026 (11,21% ao mês — Série SGS 20.737), com recálculo de todas as parcelas e do saldo devedor com base na nova taxa;</w:t>
      </w:r>
    </w:p>
    <w:p w14:paraId="3F0038CD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A8CEBB0" w14:textId="6B3AB76B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c.2) Declarar a nulidade da cobrança do seguro prestamista (R$ 350,00), condenando a Ré à restituição deste valor, corrigido monetariamente pelo INPC desde 18/02/2026 e acrescido de juros de mora de 1% ao mês a partir da citação;</w:t>
      </w:r>
    </w:p>
    <w:p w14:paraId="5799997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684199F8" w14:textId="37BCBE2C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c.3) Declarar a nulidade da cláusula 9(iii) do contrato 1, restabelecendo o direito da Autora de invocar os artigos 317, 393 e 478 a 480 do Código Civil;</w:t>
      </w:r>
    </w:p>
    <w:p w14:paraId="31D5A730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E777135" w14:textId="273EF2C5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c.4) Declarar a prevalência do Quadro III em relação à cláusula 3 do contrato 1, reconhecendo que a multa moratória pactuada é de 0% (zero por cento);</w:t>
      </w:r>
    </w:p>
    <w:p w14:paraId="178930CC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A3FE1A7" w14:textId="7FC0ADEA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c.5) Declarar a nulidade parcial da cláusula 2.1 do contrato 1, vedando débitos em conta-salário e mediante uso de limite de crédito;</w:t>
      </w:r>
    </w:p>
    <w:p w14:paraId="3C9987D1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DAB7BF0" w14:textId="26BE79CF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Em relação à CCB nº 75825597 (contrato 2 — mar/2026):</w:t>
      </w:r>
    </w:p>
    <w:p w14:paraId="4D50E87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6D9D9186" w14:textId="50E4C208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c.6) Declarar a nulidade da cobrança do seguro prestamista (R$ 446,09), condenando a Ré à restituição deste valor, corrigido monetariamente pelo INPC desde 09/03/2026 e acrescido de juros de mora de 1% ao mês a partir da citação;</w:t>
      </w:r>
    </w:p>
    <w:p w14:paraId="2AC254F9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22E68526" w14:textId="008EC891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c.7) Declarar a nulidade das cláusulas abusivas do contrato 2 (cl. 9(iii), 2.1 e 3 — idênticas ao contrato 1), com os mesmos fundamentos dos pedidos c.3, c.4 e c.5;</w:t>
      </w:r>
    </w:p>
    <w:p w14:paraId="2549C0BB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003482AA" w14:textId="0CDD95A9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c.8) Reconhecer a situação de superendividamento da Autora decorrente da concessão irresponsável do segundo crédito (CDC, art. 54-A e 54-D, incluídos pela Lei 14.181/2021) e, em consequência, determinar a revisão das condições da CCB nº 75825597, adequando o comprometimento mensal ao mínimo existencial da Autora, nos termos do CDC art. 54-F;</w:t>
      </w:r>
    </w:p>
    <w:p w14:paraId="79C35D56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00C94B42" w14:textId="4DFEF134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d)</w:t>
      </w:r>
      <w:r>
        <w:rPr>
          <w:rFonts w:ascii="Arial" w:hAnsi="Arial" w:cs="Arial"/>
          <w:sz w:val="24"/>
        </w:rPr>
        <w:t xml:space="preserve"> A condenação da Ré ao pagamento das </w:t>
      </w:r>
      <w:r>
        <w:rPr>
          <w:rFonts w:ascii="Arial" w:hAnsi="Arial" w:cs="Arial"/>
          <w:b/>
          <w:sz w:val="24"/>
        </w:rPr>
        <w:t>custas processuais e honorários advocatícios</w:t>
      </w:r>
      <w:r>
        <w:rPr>
          <w:rFonts w:ascii="Arial" w:hAnsi="Arial" w:cs="Arial"/>
          <w:sz w:val="24"/>
        </w:rPr>
        <w:t>, nos termos do artigo 85 do Código de Processo Civil;</w:t>
      </w:r>
    </w:p>
    <w:p w14:paraId="479133A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88E56D1" w14:textId="1CAA73AD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e)</w:t>
      </w:r>
      <w:r>
        <w:rPr>
          <w:rFonts w:ascii="Arial" w:hAnsi="Arial" w:cs="Arial"/>
          <w:sz w:val="24"/>
        </w:rPr>
        <w:t xml:space="preserve"> A </w:t>
      </w:r>
      <w:r>
        <w:rPr>
          <w:rFonts w:ascii="Arial" w:hAnsi="Arial" w:cs="Arial"/>
          <w:b/>
          <w:sz w:val="24"/>
        </w:rPr>
        <w:t>produção de todos os meios de prova</w:t>
      </w:r>
      <w:r>
        <w:rPr>
          <w:rFonts w:ascii="Arial" w:hAnsi="Arial" w:cs="Arial"/>
          <w:sz w:val="24"/>
        </w:rPr>
        <w:t xml:space="preserve"> admitidos em direito, especialmente:</w:t>
      </w:r>
    </w:p>
    <w:p w14:paraId="5A184743" w14:textId="7072BD56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Documental (contrato, extratos, comprovantes de pagamento);</w:t>
      </w:r>
    </w:p>
    <w:p w14:paraId="4E833B67" w14:textId="1B8AADC5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Pericial contábil, para apuração dos valores cobrados a maior e recálculo das parcelas com as taxas revisadas;</w:t>
      </w:r>
    </w:p>
    <w:p w14:paraId="54840A00" w14:textId="68808880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Juntada de informações pelo Banco Central do Brasil sobre a taxa média de mercado na data da contratação.</w:t>
      </w:r>
    </w:p>
    <w:p w14:paraId="23086B35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119B1797" w14:textId="3063AA59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Dá-se à causa o valor de R$ 53.089,80 (cinquenta e três mil e oitenta e nove reais e oitenta centavos)</w:t>
      </w:r>
      <w:r>
        <w:rPr>
          <w:rFonts w:ascii="Arial" w:hAnsi="Arial" w:cs="Arial"/>
          <w:sz w:val="24"/>
        </w:rPr>
        <w:t>, correspondente à soma dos valores totais dos dois contratos impugnados (R$ 23.251,80 + R$ 29.838,00).</w:t>
      </w:r>
    </w:p>
    <w:p w14:paraId="3B68C279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870ED0F" w14:textId="2F432D0B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Nestes termos,</w:t>
      </w:r>
    </w:p>
    <w:p w14:paraId="5DACB6A1" w14:textId="45E718DA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Pede deferimento.</w:t>
      </w:r>
    </w:p>
    <w:p w14:paraId="23D59010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6FAEDADB" w14:textId="220EFF1E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Macapá/AP, 11 de junho de 2026.</w:t>
      </w:r>
    </w:p>
    <w:p w14:paraId="11D7B2A2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0351FD3A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04078FA0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587907AF" w14:textId="3628B98A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>Conceição Maria Duarte Portilho</w:t>
      </w:r>
    </w:p>
    <w:p w14:paraId="0B54EC86" w14:textId="54028D12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Advogada — OAB/AP nº 3.576</w:t>
      </w:r>
    </w:p>
    <w:p w14:paraId="4BF31145" w14:textId="46EA5883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Conceição Duarte Advocacia e Consultoria Jurídica</w:t>
      </w:r>
    </w:p>
    <w:p w14:paraId="212E941E" w14:textId="12F50BCF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Av. Aimorés, 67, Beirol, Macapá/AP — CEP 68.902-140</w:t>
      </w:r>
    </w:p>
    <w:p w14:paraId="76592AFA" w14:textId="55D2A577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conceicaoduarte.adv@gmail.com</w:t>
      </w:r>
    </w:p>
    <w:p w14:paraId="06970ADE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722BD3B1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407E9768" w14:textId="77777777" w:rsidR="008102A2" w:rsidRDefault="008102A2" w:rsidP="008102A2">
      <w:pPr>
        <w:jc w:val="both"/>
        <w:rPr>
          <w:rFonts w:ascii="Arial" w:hAnsi="Arial" w:cs="Arial"/>
          <w:sz w:val="24"/>
        </w:rPr>
      </w:pPr>
    </w:p>
    <w:p w14:paraId="6E73ABB3" w14:textId="668EE052" w:rsidR="008102A2" w:rsidRDefault="008102A2" w:rsidP="008102A2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*Documentos que acompanham esta inicial:*</w:t>
      </w:r>
    </w:p>
    <w:p w14:paraId="522E7054" w14:textId="5A982E4A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*Doc. 1 — Cédula de Crédito Bancário nº 75805602 (contrato 1)*</w:t>
      </w:r>
    </w:p>
    <w:p w14:paraId="513712FC" w14:textId="48E03B18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*Doc. 2 — Proposta de Adesão ao Seguro Prestamista — contrato 1*</w:t>
      </w:r>
    </w:p>
    <w:p w14:paraId="271B59DA" w14:textId="5F52BDDC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*Doc. 3 — Cédula de Crédito Bancário nº 75825597 (contrato 2)*</w:t>
      </w:r>
    </w:p>
    <w:p w14:paraId="3B25DC0D" w14:textId="3677B989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*Doc. 4 — Proposta de Adesão ao Seguro Prestamista — contrato 2*</w:t>
      </w:r>
    </w:p>
    <w:p w14:paraId="1A1A2685" w14:textId="7844690C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*Doc. 5 — Procuração ad judicia*</w:t>
      </w:r>
    </w:p>
    <w:p w14:paraId="64CCF819" w14:textId="2656D065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*Doc. 6 — Memorial de Cálculo com dados BACEN (Série SGS 20.737)*</w:t>
      </w:r>
    </w:p>
    <w:p w14:paraId="781D6C3F" w14:textId="1BCEA573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*Doc. 7 — [Extratos bancários Midway e Banco do Brasil — A JUNTAR]*</w:t>
      </w:r>
    </w:p>
    <w:p w14:paraId="68021DF4" w14:textId="34440A42" w:rsidR="008102A2" w:rsidRDefault="008102A2" w:rsidP="008102A2">
      <w:pPr>
        <w:ind w:left="567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• *Doc. 8 — [Comprovante de renda — A JUNTAR]*</w:t>
      </w:r>
    </w:p>
    <w:p w14:paraId="0D534637" w14:textId="77777777" w:rsidR="008102A2" w:rsidRPr="008102A2" w:rsidRDefault="008102A2" w:rsidP="008102A2">
      <w:pPr>
        <w:jc w:val="both"/>
        <w:rPr>
          <w:rFonts w:ascii="Arial" w:hAnsi="Arial" w:cs="Arial"/>
          <w:sz w:val="24"/>
        </w:rPr>
      </w:pPr>
    </w:p>
    <w:sectPr w:rsidR="008102A2" w:rsidRPr="008102A2" w:rsidSect="008102A2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02A2"/>
    <w:rsid w:val="002B6DA6"/>
    <w:rsid w:val="003B20C2"/>
    <w:rsid w:val="00530E35"/>
    <w:rsid w:val="008102A2"/>
    <w:rsid w:val="00A930A8"/>
    <w:rsid w:val="00D46097"/>
    <w:rsid w:val="00DA0028"/>
    <w:rsid w:val="00E11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7012"/>
  <w15:chartTrackingRefBased/>
  <w15:docId w15:val="{766D9E02-B5BB-43EE-A355-DCDCDBC29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after="0" w:line="240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810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10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102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10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102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102A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102A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102A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102A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102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102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102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102A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102A2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102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102A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102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102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102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10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102A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10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102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102A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102A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102A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102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102A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102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2721</Words>
  <Characters>14698</Characters>
  <Application>Microsoft Office Word</Application>
  <DocSecurity>0</DocSecurity>
  <Lines>122</Lines>
  <Paragraphs>34</Paragraphs>
  <ScaleCrop>false</ScaleCrop>
  <Company/>
  <LinksUpToDate>false</LinksUpToDate>
  <CharactersWithSpaces>17385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CONCEIÇÃO DUARTE</dc:creator>
  <cp:keywords/>
  <dc:description/>
  <cp:lastModifiedBy>CONCEIÇÃO DUARTE</cp:lastModifiedBy>
  <cp:revision>1</cp:revision>
  <dcterms:created xsi:type="dcterms:W3CDTF">2026-06-11T22:40:00Z</dcterms:created>
  <dcterms:modified xsi:type="dcterms:W3CDTF">2026-06-11T22:40:00Z</dcterms:modified>
</cp:coreProperties>
</file>