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EXCELENTÍSSIMO(A) SENHOR(A) DOUTOR(A) JUIZ(A) DE DIREITO DA VARA CÍVEL DA COMARCA DE MACAPÁ — ESTADO DO AMAPÁ</w:t>
      </w:r>
    </w:p>
    <w:p>
      <w:pPr>
        <w:spacing w:after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24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AÇÃO REVISIONAL DE CONTRATOS BANCÁRIOS COM PEDIDO DE TUTELA DE URGÊNCIA</w:t>
      </w:r>
    </w:p>
    <w:p>
      <w:pPr>
        <w:spacing w:after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SIMONE MARQUES MARTINS SEPEDA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brasileira, nascida em 09 de dezembro de 1971, natural de Macapá/AP, portadora do RG nº 040825 (POLITEC/AP) e inscrita no CPF sob o nº 324.863.672-68, residente e domiciliada na Rua Carlos Gomes, nº 301, Bairro Jesus de Nazaré, Macapá/AP, CEP 68908-125, e-mail symonemartins2002@yahoo.com.br, por meio de sua advogada que esta subscreve, nos termos do instrumento procuratório em anexo, vem, respeitosamente, perante Vossa Excelência, propor</w:t>
      </w:r>
    </w:p>
    <w:p>
      <w:pPr>
        <w:spacing w:after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face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MIDWAY S.A. — CRÉDITO, FINANCIAMENTO E INVESTIMENTO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instituição financeira inscrita no CNPJ/ME sob o nº 09.464.032/0001-12, com sede na Rua Lemos Monteiro, nº 120, 15º Andar, Edifício Pinheiros One, Butantã, São Paulo/SP, CEP 05501-050, pelos fatos e fundamentos a seguir expostos: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DOS FATOS</w:t>
      </w:r>
    </w:p>
    <w:p>
      <w:pPr>
        <w:pStyle w:val="Heading2"/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A contratação</w:t>
      </w: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Entre os meses de fevereiro e abril de 2026, a Autora celebrou três Cédulas de Crédito Bancário (CCBs) com a Ré, intermediadas pelas Lojas Riachuelo S.A. na condição de correspondente bancário, conforme discriminado abaixo: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CCB nº 75805602 — emitida em 18/02/2026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Valor líquido liberado: R$ 5.000,00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Valor total do empréstimo (com IOF e seguro): R$ 5.529,71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IOF embutido e financiado: R$ 179,71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Seguro Prestamista embutido: R$ 350,00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Taxa de juros remuneratórios: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13,75% ao mês / 369,26% ao ano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Custo Efetivo Total (CET): 14,41% ao mês / 402,79% ao ano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Número de parcelas: 30 (trinta)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Valor de cada parcela: R$ 775,06</w:t>
      </w:r>
    </w:p>
    <w:p>
      <w:pPr>
        <w:spacing w:after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total a pagar: R$ 23.251,80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CCB nº 75825597 — emitida em 09/03/2026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Valor líquido liberado: R$ 6.372,78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Valor total do empréstimo (com IOF e seguro): R$ 7.049,46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IOF embutido e financiado: R$ 230,59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Seguro Prestamista embutido: R$ 446,09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Taxa de juros remuneratórios: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13,75% ao mês / 369,26% ao ano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Custo Efetivo Total (CET): 14,41% ao mês / 402,80% ao ano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Número de parcelas: 30 (trinta)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Valor de cada parcela: R$ 994,60</w:t>
      </w:r>
    </w:p>
    <w:p>
      <w:pPr>
        <w:spacing w:after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total a pagar: R$ 29.838,00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CCB nº 75879070 — emitida em 27/04/2026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Valor líquido liberado: R$ 1.600,00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Valor total do empréstimo (com IOF e seguro): R$ 1.740,92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IOF embutido e financiado: R$ 28,92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Seguro Prestamista embutido: R$ 112,00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Taxa de juros remuneratórios: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14,99% ao mês / 434,47% ao ano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Custo Efetivo Total (CET): 15,62% ao mês / 470,41% ao ano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Número de parcelas: 8 (oito)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Valor de cada parcela: R$ 387,50</w:t>
      </w:r>
    </w:p>
    <w:p>
      <w:pPr>
        <w:spacing w:after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total a pagar: R$ 3.100,00</w:t>
      </w:r>
    </w:p>
    <w:p>
      <w:pPr>
        <w:pStyle w:val="Heading2"/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O descompasso entre o que foi recebido e o que se cobra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Autora recebeu, nos três contratos, o total líquido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R$ 12.972,78 (doze mil, novecentos e setenta e dois reais e setenta e oito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Em contrapartida, o montante total cobrado pela Ré nos três instrumentos soma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R$ 56.189,80 (cinquenta e seis mil, cento e oitenta e nove reais e oitenta centavos)</w:t>
      </w:r>
    </w:p>
    <w:p>
      <w:pPr>
        <w:spacing w:after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Trata-se de sobrecusto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R$ 43.217,02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o equivalente a mais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333%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valor efetivamente recebido, ou seja, a Autora pagaria mais de quatro vezes o valor que ingressou em sua conta.</w:t>
      </w:r>
    </w:p>
    <w:p>
      <w:pPr>
        <w:pStyle w:val="Heading2"/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A prática abusiva do seguro prestamista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Nos três contratos, a Ré inseriu automaticamente seguros prestamistas nos valores de R$ 350,00, R$ 446,09 e R$ 112,00, totalizando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R$ 908,09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administrados pela Zurich Seguros, através da intermediação das Lojas Riachuelo.</w:t>
      </w:r>
    </w:p>
    <w:p>
      <w:pPr>
        <w:spacing w:after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nenhum dos contratos foi concedida à Autora a possibilidade real de recusar o seguro ou de contratar livremente outra seguradora de sua escolha. O prêmio foi diretamente incorporado ao valor financiado, sobre o qual ainda incidem juros remuneratórios — onerando duplamente a consumidora.</w:t>
      </w:r>
    </w:p>
    <w:p>
      <w:pPr>
        <w:pStyle w:val="Heading2"/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O IOF embutido no montante financiado</w:t>
      </w:r>
    </w:p>
    <w:p>
      <w:pPr>
        <w:spacing w:after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Nos três contratos, o IOF (R$ 179,71 + R$ 230,59 + R$ 28,92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R$ 439,22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foi incorporado ao valor total financiado, compondo a base de cálculo sobre a qual incidiram os juros remuneratórios. A Autora, assim, pagou juros sobre um tributo — o que desvirtua a base de cálculo das parcelas e gera enriquecimento ilícito da Ré.</w:t>
      </w:r>
    </w:p>
    <w:p>
      <w:pPr>
        <w:pStyle w:val="Heading2"/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A capitalização mensal de juros</w:t>
      </w:r>
    </w:p>
    <w:p>
      <w:pPr>
        <w:spacing w:after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cláusula 2 das três CCBs estabelece expressamente que os juros são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"capitalizados mensalmente"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Combinada com as taxas praticadas (13,75% e 14,99% ao mês), a capitalização mensal gera um custo anual de 369% a 434%, transformando dívidas de R$ 12.972,78 em obrigações de R$ 56.189,80 — prática que viola frontalmente a função social dos contratos e os princípios da boa-fé objetiva.</w:t>
      </w:r>
    </w:p>
    <w:p>
      <w:pPr>
        <w:pStyle w:val="Heading2"/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Cláusulas que suprimem direitos do consumidor</w:t>
      </w:r>
    </w:p>
    <w:p>
      <w:pPr>
        <w:spacing w:after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item 9 das Condições Gerais de cada CCB estabelece que a Autora não poderia invocar os arts. 317, 393, 478, 479 e 480 do Código Civil — dispositivos que tratam da revisão por onerosidade excessiva, caso fortuito, força maior e teoria da imprevisão. Cláusulas que suprimem direitos legais do consumidor são nulas de pleno direito, independentemente de aceitação.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DO DIREITO</w:t>
      </w:r>
    </w:p>
    <w:p>
      <w:pPr>
        <w:pStyle w:val="Heading2"/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Aplicabilidade do Código de Defesa do Consumidor</w:t>
      </w:r>
    </w:p>
    <w:p>
      <w:pPr>
        <w:spacing w:after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relação jurídica entre a Autora e a Ré é de consumo, nos termos do art. 2º e 3º da Lei nº 8.078/90. A Súmula 297 do STJ consagra que "o Código de Defesa do Consumidor é aplicável às instituições financeiras", afastando qualquer argumento em contrário.</w:t>
      </w:r>
    </w:p>
    <w:p>
      <w:pPr>
        <w:pStyle w:val="Heading2"/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Abusividade das taxas de juros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contratos bancários, embora não se submetam à limitação da Lei de Usura (Decreto nº 22.626/33), estão sujeitos ao controle de abusividade pelo Poder Judiciário, com base no CDC e no Código Civil.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Superior Tribunal de Justiça pacificou que, para configurar a abusividade, basta demonstrar que a taxa contratada supera significativamente a taxa média de mercado apurada pelo Banco Central do Brasil para a mesma modalidade de crédito (REsp 1.061.530/RS — Tema 27 STJ).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taxa média BACEN para crédito pessoal não consignado no período dos contratos (fevereiro a abril de 2026) situou-se em patamar substancialmente inferior às taxas de 13,75% e 14,99% ao mês praticadas pela Ré, o que demonstra a abusividade e autoriza a revisão judicial.</w:t>
      </w:r>
    </w:p>
    <w:p>
      <w:pPr>
        <w:spacing w:after="240" w:before="120"/>
        <w:ind w:left="720" w:righ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Requer-se a juntada de planilha BACEN como prova documental. Autoriza-se o Juízo a determinar a consulta ao Banco Central para comprovação da taxa média vigente nas datas de 18/02/2026, 09/03/2026 e 27/04/2026.</w:t>
      </w:r>
    </w:p>
    <w:p>
      <w:pPr>
        <w:pStyle w:val="Heading2"/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Ilegalidade do seguro prestamista — venda casada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Resolução CNSP nº 382/2020 e a Circular SUSEP nº 642/2021 garantem ao segurado o direito à livre escolha da seguradora, vedando expressamente que a instituição financeira condicione a concessão do crédito à contratação de seguro junto à seguradora por ela indicada.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presente caso, a Ré inseriu o seguro prestamista diretamente no valor financiado, sem que a Autora tivesse a possibilidade real de recusar ou de contratar o seguro com outra empresa. Trata-se de venda casada, vedada pelo art. 39, inciso I, do CDC, e da qual decorre o direito à restituição dos prêmios indevidamente cobrados, nos termos do art. 42, parágrafo único, do CDC (repetição em dobro quando a cobrança é indevida e dolosa).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Súmula 473 do STJ não impede a contestação do seguro prestamista quando demonstrada a venda casada:</w:t>
      </w:r>
    </w:p>
    <w:p>
      <w:pPr>
        <w:spacing w:after="240" w:before="120"/>
        <w:ind w:left="720" w:righ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"O mutuário do SFH não pode ser compelido a contratar o seguro habitacional obrigatório com a instituição financeira mutuante ou com a seguradora por ela indicada." (Súm. 473/STJ — aplicação analógica ao crédito pessoal)</w:t>
      </w:r>
    </w:p>
    <w:p>
      <w:pPr>
        <w:pStyle w:val="Heading2"/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IOF embutido no capital financiado</w:t>
      </w:r>
    </w:p>
    <w:p>
      <w:pPr>
        <w:spacing w:after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IOF é tributo de responsabilidade do tomador do crédito e deve ser recolhido à Receita Federal. Ao incorporá-lo ao valor financiado, a Ré passa a cobrar juros sobre o próprio tributo, gerando enriquecimento sem causa (CC art. 884) e majorando indevidamente as parcelas.</w:t>
      </w:r>
    </w:p>
    <w:p>
      <w:pPr>
        <w:pStyle w:val="Heading2"/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Nulidade das cláusulas que afastam o CDC e o Código Civil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51, inciso I, do CDC estabelece que são nulas de pleno direito as cláusulas contratuais que impossibilitem, exonerem ou atenuem a responsabilidade do fornecedor por vícios, ou que impliquem renúncia ou disposição de direitos. O art. 51, inciso IV, acrescenta a nulidade das cláusulas incompatíveis com a boa-fé e a equidade.</w:t>
      </w:r>
    </w:p>
    <w:p>
      <w:pPr>
        <w:spacing w:after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cláusula que veda à Autora invocar os arts. 317, 393, 478, 479 e 480 do Código Civil é nula de pleno direito, operando a nulidade independentemente de declaração judicial, nos termos do art. 51, § 2º, do CDC.</w:t>
      </w:r>
    </w:p>
    <w:p>
      <w:pPr>
        <w:pStyle w:val="Heading2"/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Boa-fé objetiva e função social do contrato</w:t>
      </w:r>
    </w:p>
    <w:p>
      <w:pPr>
        <w:spacing w:after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421 do Código Civil estabelece que a liberdade contratual será exercida nos limites da função social do contrato. O art. 422 impõe às partes o dever de guardar a boa-fé objetiva tanto na conclusão como na execução do contrato. Contratos que geram enriquecimento desproporcionado em detrimento do consumidor vulnerável violam esses princípios e devem ser revisados.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DA TUTELA DE URGÊNCIA (CPC art. 300)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probabilidade do direito (fumus boni iuris) está demonstrada pelos próprios contratos, que evidenciam taxas superiores à média de mercado, inserção compulsória de seguro e cláusulas abusivas — vícios objetivos verificáveis de plano.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perigo de dano (periculum in mora) decorre do risco iminente de:</w:t>
      </w:r>
    </w:p>
    <w:p>
      <w:pPr>
        <w:spacing w:after="80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Inclusão do nome da Autora em cadastros de inadimplentes (SPC/Serasa) caso as parcelas, ora discutidas em sua legalidade, não sejam pagas no valor contratado;</w:t>
      </w:r>
    </w:p>
    <w:p>
      <w:pPr>
        <w:spacing w:after="80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Continuidade do débito automático nas contas bancárias da Autora durante toda a tramitação do processo, consolidando o pagamento de valores cuja legalidade é questionada;</w:t>
      </w:r>
    </w:p>
    <w:p>
      <w:pPr>
        <w:spacing w:after="200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Dano de difícil reparação ao crédito da Autora, afetando sua capacidade financeira.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Requer-se, em sede de tutela de urgência antecipada (CPC art. 300 c/c art. 303):</w:t>
      </w:r>
    </w:p>
    <w:p>
      <w:pPr>
        <w:spacing w:after="120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A suspensão de qualquer inclusão do nome da Autora em serviços de proteção ao crédito (SPC, Serasa, SCR) em razão das CCBs nºs 75805602, 75825597 e 75879070, enquanto pendente o presente processo;</w:t>
      </w:r>
    </w:p>
    <w:p>
      <w:pPr>
        <w:spacing w:after="120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A determinação à Ré de que se abstenha de realizar débitos automáticos nas contas da Autora (Banco Midway, Ag. 1001, CC 53676499; e Banco do Brasil, Ag. 2825, CC 146602) em valores superiores às parcelas que vierem a ser fixadas pelo Juízo após a revisão dos contratos, ou, alternativamente, que os débitos fiquem suspensos até decisão de mérito, mediante depósito judicial da diferença;</w:t>
      </w:r>
    </w:p>
    <w:p>
      <w:pPr>
        <w:spacing w:after="240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A expedição de ofício às instituições financeiras Banco Midway e Banco do Brasil para ciência da decisão liminar.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 — DOS PEDIDOS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Diante do exposto, requer a Autora: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DA TUTELA DE URGÊNCIA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nos termos do item III acima, com fixação de multa diária (astreinte) de R$ 1.000,00 (mil reais) por descumprimento, nos termos do art. 537 do CPC.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DO MÉRITO:</w:t>
      </w:r>
    </w:p>
    <w:p>
      <w:pPr>
        <w:spacing w:after="120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A revisão das taxas de juros remuneratórios das três CCBs, limitando-as à taxa média de mercado apurada pelo Banco Central do Brasil para crédito pessoal não consignado nas datas de cada contratação;</w:t>
      </w:r>
    </w:p>
    <w:p>
      <w:pPr>
        <w:spacing w:after="120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O recálculo das parcelas vencidas e vincendas com a nova taxa fixada, compensando os valores eventualmente pagos a maior pela Autora, com correção monetária pelo IPCA e juros legais de 1% ao mês a partir de cada pagamento indevido (Súm. 54/STJ);</w:t>
      </w:r>
    </w:p>
    <w:p>
      <w:pPr>
        <w:spacing w:after="120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A declaração de nulidade da cláusula de capitalização mensal de juros quando combinada com taxas superiores à média de mercado, ou, alternativamente, a limitação dos efeitos da capitalização à taxa revisada;</w:t>
      </w:r>
    </w:p>
    <w:p>
      <w:pPr>
        <w:spacing w:after="120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d) A declaração de nulidade da cobrança do Seguro Prestamista nas três CCBs, por caracterizar venda casada (CDC art. 39, I), com a condenação da Ré à restituição dos valores pagos a esse título (R$ 908,09 comprovados, mais os que se vencerem até a sentença), corrigidos monetariamente e acrescidos de juros legais, podendo a restituição ser simples ou em dobro conforme apuração em liquidação (CDC art. 42, parágrafo único);</w:t>
      </w:r>
    </w:p>
    <w:p>
      <w:pPr>
        <w:spacing w:after="120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e) A declaração de nulidade da incorporação do IOF ao montante financiado para fins de incidência de juros, com recálculo das parcelas excluindo o tributo da base de cálculo dos juros remuneratórios e restituição do excesso;</w:t>
      </w:r>
    </w:p>
    <w:p>
      <w:pPr>
        <w:spacing w:after="120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f) A declaração de nulidade das cláusulas que afastam a aplicação dos arts. 317, 393, 478, 479 e 480 do Código Civil (CDC art. 51, I e IV);</w:t>
      </w:r>
    </w:p>
    <w:p>
      <w:pPr>
        <w:spacing w:after="120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g) A condenação da Ré ao pagamento das custas processuais e honorários advocatícios sucumbenciais, nos termos do art. 85 do CPC;</w:t>
      </w:r>
    </w:p>
    <w:p>
      <w:pPr>
        <w:spacing w:after="240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h) A concessão dos benefícios da gratuidade da justiça à Autora, nos termos do art. 98 do CPC e da Lei nº 1.060/50, pela declaração de hipossuficiência que instrui esta inicial.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DAS PROVAS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Autora pretende provar o alegado por todos os meios de prova em direito admitidos, em especial:</w:t>
      </w:r>
    </w:p>
    <w:p>
      <w:pPr>
        <w:spacing w:after="80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Documentais: CCBs nºs 75805602, 75825597 e 75879070 (documentos em anexo); CNH; extratos bancários demonstrando os débitos das parcelas;</w:t>
      </w:r>
    </w:p>
    <w:p>
      <w:pPr>
        <w:spacing w:after="80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Pericial: requer desde já a realização de perícia contábil para apuração do montante pago a maior, com base na taxa revisada a ser fixada pelo Juízo;</w:t>
      </w:r>
    </w:p>
    <w:p>
      <w:pPr>
        <w:spacing w:after="240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Prova documental a ser produzida: dados da taxa média BACEN para crédito pessoal não consignado nas datas dos contratos (a ser obtida pelo próprio Juízo ou por diligência da Autora).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 — DA GRATUIDADE DA JUSTIÇA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Autora é pessoa física hipossuficiente, sem condições de arcar com as custas processuais e os honorários periciais sem prejuízo do próprio sustento e de sua família.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Nos termos do art. 98 do Código de Processo Civil, a pessoa natural que não possua recursos suficientes para pagar as custas, as despesas processuais e os honorários advocatícios tem direito à gratuidade da justiça, na forma da lei.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declaração de hipossuficiência prestada pela parte goza de presunção relativa de veracidade, cabendo ao réu, se quiser, impugná-la nos termos do art. 100 do CPC — conforme entendimento pacífico do Superior Tribunal de Justiça:</w:t>
      </w:r>
    </w:p>
    <w:p>
      <w:pPr>
        <w:spacing w:after="240" w:before="120"/>
        <w:ind w:left="720" w:righ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"A gratuidade da justiça pode ser concedida com base em simples afirmação de hipossuficiência, a qual goza de presunção relativa de veracidade, podendo ser questionada pelo réu ou indeferida de ofício pelo juiz, se houver elementos nos autos que evidenciem a ausência dos pressupostos legais." (STJ, AgInt no AREsp 1.671.293/SP)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Declaração de Hipossuficiência firmada pela Autora acompanha esta inicial como documento hábil a demonstrar sua condição financeira, fazendo jus à isenção de custas judiciais, emolumentos, despesas de intimação e perícia, nos termos do art. 98, § 1º, do CPC.</w:t>
      </w:r>
    </w:p>
    <w:p>
      <w:pPr>
        <w:spacing w:after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Requer, portanto, a concessão dos benefícios 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gratuidade da justiça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com dispensa do recolhimento das custas iniciais e demais despesas processuais, na forma do art. 98 do CPC.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 — DO VALOR DA CAUSA</w:t>
      </w:r>
    </w:p>
    <w:p>
      <w:pPr>
        <w:spacing w:after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Atribui-se à presente causa o valor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R$ 56.189,80 (cinquenta e seis mil, cento e oitenta e nove reais e oitenta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correspondente à soma dos valores totais a pagar nas três CCBs (CPC art. 292, II), sem prejuízo da liquidação posterior dos valores a restituir.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</w:t>
      </w:r>
    </w:p>
    <w:p>
      <w:pPr>
        <w:spacing w:after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Pede deferimento.</w:t>
      </w:r>
    </w:p>
    <w:p>
      <w:pPr>
        <w:spacing w:after="12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Macapá/AP, _____ de __________________ de 2026.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CONCEIÇÃO MARIA DUARTE PORTILHO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OAB/AP nº 3576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conceicaoduarte.adv@gmail.com</w:t>
      </w:r>
    </w:p>
    <w:p>
      <w:pPr>
        <w:spacing w:after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Av. Aimorés, nº 67, Beirol — Macapá/AP — CEP 68902-140</w:t>
      </w:r>
    </w:p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DOCUMENTOS A JUNTAR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Procuração ad judicia et extra assinada pela Autora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Declaração de hipossuficiência / gratuidade de justiça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CCB nº 75805602 (18/02/2026)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CCB nº 75825597 (09/03/2026)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CCB nº 75879070 (27/04/2026)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CNH da Autora (qualificação)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Comprovante de residência atualizado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Extratos bancários (débitos das parcelas)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 Consulta BACEN — taxa média crédito pessoal não consignado (fev/mar/abr 2026)</w:t>
      </w:r>
    </w:p>
    <w:sectPr>
      <w:pgSz w:w="11906" w:h="16838" w:orient="portrait"/>
      <w:pgMar w:top="1699" w:right="1411" w:bottom="1411" w:left="2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after="120" w:before="24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pPr>
      <w:spacing w:after="80" w:before="16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2026-06-16T15:45:59.047Z</dcterms:created>
  <dcterms:modified xsi:type="dcterms:W3CDTF">2026-06-16T15:45:59.048Z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