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CONSULTA BACEN — TAXA MÉDIA DE MERCADO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Crédito Pessoal Não Consignado — Recursos Livres — Pessoas Físicas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Fonte: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Banco Central do Brasil — Sistema Gerenciador de Séries Temporais (SGS)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Séries: 25464 (taxa mensal) e 20742 (taxa anual)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Consulta disponível em: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https://dadosabertos.bcb.gov.br/dataset/25464-taxa-media-mensal-de-juros-das-operacoes-de-credito-com-recursos-livres---pessoas-fisicas---c</w:t>
      </w:r>
    </w:p>
    <w:p>
      <w:pPr>
        <w:spacing w:after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Data da consulta: 15/06/2026</w:t>
      </w:r>
    </w:p>
    <w:p>
      <w:pPr>
        <w:spacing w:after="1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 — TAXAS MÉDIAS DE MERCADO APURADAS PELO BACEN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D0D0D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Mês de referência</w:t>
            </w:r>
          </w:p>
        </w:tc>
        <w:tc>
          <w:tcPr>
            <w:shd w:color="D0D0D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Taxa média ao mês</w:t>
            </w:r>
          </w:p>
        </w:tc>
        <w:tc>
          <w:tcPr>
            <w:shd w:color="D0D0D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Taxa média ao ano</w:t>
            </w:r>
          </w:p>
        </w:tc>
      </w:tr>
      <w:tr>
        <w:tc>
          <w:tcPr>
            <w:shd w:color="E0F0E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Fevereiro/2026</w:t>
            </w:r>
          </w:p>
        </w:tc>
        <w:tc>
          <w:tcPr>
            <w:shd w:color="E0F0E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6,47% a.m.</w:t>
            </w:r>
          </w:p>
        </w:tc>
        <w:tc>
          <w:tcPr>
            <w:shd w:color="E0F0E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112,15% a.a.</w:t>
            </w:r>
          </w:p>
        </w:tc>
      </w:tr>
      <w:tr>
        <w:tc>
          <w:tcPr>
            <w:shd w:color="E0F0E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Março/2026</w:t>
            </w:r>
          </w:p>
        </w:tc>
        <w:tc>
          <w:tcPr>
            <w:shd w:color="E0F0E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6,67% a.m.</w:t>
            </w:r>
          </w:p>
        </w:tc>
        <w:tc>
          <w:tcPr>
            <w:shd w:color="E0F0E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117,05% a.a.</w:t>
            </w:r>
          </w:p>
        </w:tc>
      </w:tr>
      <w:tr>
        <w:tc>
          <w:tcPr>
            <w:shd w:color="E0F0E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Abril/2026</w:t>
            </w:r>
          </w:p>
        </w:tc>
        <w:tc>
          <w:tcPr>
            <w:shd w:color="E0F0E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6,99% a.m.</w:t>
            </w:r>
          </w:p>
        </w:tc>
        <w:tc>
          <w:tcPr>
            <w:shd w:color="E0F0E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125,06% a.a.</w:t>
            </w:r>
          </w:p>
        </w:tc>
      </w:tr>
    </w:tbl>
    <w:p>
      <w:pPr>
        <w:spacing w:after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 — COMPARATIVO COM AS TAXAS COBRADAS PELA RÉ (MIDWAY S.A.)</w:t>
      </w:r>
    </w:p>
    <w:p>
      <w:pPr>
        <w:spacing w:after="12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CCB nº 75805602 — emitida em 18/02/2026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D0D0D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shd w:color="D0D0D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Taxa ao mês</w:t>
            </w:r>
          </w:p>
        </w:tc>
        <w:tc>
          <w:tcPr>
            <w:shd w:color="D0D0D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Taxa ao ano</w:t>
            </w:r>
          </w:p>
        </w:tc>
      </w:tr>
      <w:tr>
        <w:tc>
          <w:tcPr>
            <w:shd w:color="E0F0E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Média BACEN (02/2026)</w:t>
            </w:r>
          </w:p>
        </w:tc>
        <w:tc>
          <w:tcPr>
            <w:shd w:color="E0F0E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6,47% a.m.</w:t>
            </w:r>
          </w:p>
        </w:tc>
        <w:tc>
          <w:tcPr>
            <w:shd w:color="E0F0E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112,15% a.a.</w:t>
            </w:r>
          </w:p>
        </w:tc>
      </w:tr>
      <w:tr>
        <w:tc>
          <w:tcPr>
            <w:shd w:color="FFE0E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Taxa contratada pela Ré</w:t>
            </w:r>
          </w:p>
        </w:tc>
        <w:tc>
          <w:tcPr>
            <w:shd w:color="FFE0E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13,75% a.m.</w:t>
            </w:r>
          </w:p>
        </w:tc>
        <w:tc>
          <w:tcPr>
            <w:shd w:color="FFE0E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369,26% a.a.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Excesso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+7,28 p.p.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+257,11 p.p.</w:t>
            </w:r>
          </w:p>
        </w:tc>
      </w:tr>
      <w:tr>
        <w:tc>
          <w:tcPr>
            <w:shd w:color="FFD70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Fator de desvio</w:t>
            </w:r>
          </w:p>
        </w:tc>
        <w:tc>
          <w:tcPr>
            <w:shd w:color="FFD70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2,13× a taxa de mercado</w:t>
            </w:r>
          </w:p>
        </w:tc>
        <w:tc>
          <w:tcPr>
            <w:shd w:color="FFD70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3,29× a taxa de mercado</w:t>
            </w:r>
          </w:p>
        </w:tc>
      </w:tr>
    </w:tbl>
    <w:p>
      <w:pPr>
        <w:spacing w:after="2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CCB nº 75825597 — emitida em 09/03/2026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D0D0D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shd w:color="D0D0D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Taxa ao mês</w:t>
            </w:r>
          </w:p>
        </w:tc>
        <w:tc>
          <w:tcPr>
            <w:shd w:color="D0D0D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Taxa ao ano</w:t>
            </w:r>
          </w:p>
        </w:tc>
      </w:tr>
      <w:tr>
        <w:tc>
          <w:tcPr>
            <w:shd w:color="E0F0E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Média BACEN (03/2026)</w:t>
            </w:r>
          </w:p>
        </w:tc>
        <w:tc>
          <w:tcPr>
            <w:shd w:color="E0F0E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6,67% a.m.</w:t>
            </w:r>
          </w:p>
        </w:tc>
        <w:tc>
          <w:tcPr>
            <w:shd w:color="E0F0E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117,05% a.a.</w:t>
            </w:r>
          </w:p>
        </w:tc>
      </w:tr>
      <w:tr>
        <w:tc>
          <w:tcPr>
            <w:shd w:color="FFE0E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Taxa contratada pela Ré</w:t>
            </w:r>
          </w:p>
        </w:tc>
        <w:tc>
          <w:tcPr>
            <w:shd w:color="FFE0E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13,75% a.m.</w:t>
            </w:r>
          </w:p>
        </w:tc>
        <w:tc>
          <w:tcPr>
            <w:shd w:color="FFE0E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369,26% a.a.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Excesso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+7,08 p.p.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+252,21 p.p.</w:t>
            </w:r>
          </w:p>
        </w:tc>
      </w:tr>
      <w:tr>
        <w:tc>
          <w:tcPr>
            <w:shd w:color="FFD70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Fator de desvio</w:t>
            </w:r>
          </w:p>
        </w:tc>
        <w:tc>
          <w:tcPr>
            <w:shd w:color="FFD70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2,06× a taxa de mercado</w:t>
            </w:r>
          </w:p>
        </w:tc>
        <w:tc>
          <w:tcPr>
            <w:shd w:color="FFD70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3,15× a taxa de mercado</w:t>
            </w:r>
          </w:p>
        </w:tc>
      </w:tr>
    </w:tbl>
    <w:p>
      <w:pPr>
        <w:spacing w:after="2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CCB nº 75879070 — emitida em 27/04/2026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D0D0D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shd w:color="D0D0D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Taxa ao mês</w:t>
            </w:r>
          </w:p>
        </w:tc>
        <w:tc>
          <w:tcPr>
            <w:shd w:color="D0D0D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Taxa ao ano</w:t>
            </w:r>
          </w:p>
        </w:tc>
      </w:tr>
      <w:tr>
        <w:tc>
          <w:tcPr>
            <w:shd w:color="E0F0E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Média BACEN (04/2026)</w:t>
            </w:r>
          </w:p>
        </w:tc>
        <w:tc>
          <w:tcPr>
            <w:shd w:color="E0F0E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6,99% a.m.</w:t>
            </w:r>
          </w:p>
        </w:tc>
        <w:tc>
          <w:tcPr>
            <w:shd w:color="E0F0E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125,06% a.a.</w:t>
            </w:r>
          </w:p>
        </w:tc>
      </w:tr>
      <w:tr>
        <w:tc>
          <w:tcPr>
            <w:shd w:color="FFE0E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Taxa contratada pela Ré</w:t>
            </w:r>
          </w:p>
        </w:tc>
        <w:tc>
          <w:tcPr>
            <w:shd w:color="FFE0E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14,99% a.m.</w:t>
            </w:r>
          </w:p>
        </w:tc>
        <w:tc>
          <w:tcPr>
            <w:shd w:color="FFE0E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434,47% a.a.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Excesso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+8,00 p.p.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+309,41 p.p.</w:t>
            </w:r>
          </w:p>
        </w:tc>
      </w:tr>
      <w:tr>
        <w:tc>
          <w:tcPr>
            <w:shd w:color="FFD70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Fator de desvio</w:t>
            </w:r>
          </w:p>
        </w:tc>
        <w:tc>
          <w:tcPr>
            <w:shd w:color="FFD70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2,14× a taxa de mercado</w:t>
            </w:r>
          </w:p>
        </w:tc>
        <w:tc>
          <w:tcPr>
            <w:shd w:color="FFD70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3,47× a taxa de mercado</w:t>
            </w:r>
          </w:p>
        </w:tc>
      </w:tr>
    </w:tbl>
    <w:p>
      <w:pPr>
        <w:spacing w:after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III — CONCLUSÃO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três CCBs celebradas entre a Autora e a Ré apresentam taxas de juros remuneratórios entre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2,06 e 2,14 vezes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taxa média de mercado apurada pelo Banco Central do Brasil para crédito pessoal não consignado nas respectivas datas de contratação.</w:t>
      </w:r>
    </w:p>
    <w:p>
      <w:pPr>
        <w:spacing w:after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Nos termos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Tema 27/STJ (REsp 1.061.530/RS)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 simples fato de a taxa contratada superar significativamente a taxa média de mercado é suficiente para configurar abusividade e autorizar a revisão judicial. Nos três contratos, as taxas cobradas pela Ré superam o dobro da média de mercado (+100%), configurando abusividade manifesta.</w:t>
      </w:r>
    </w:p>
    <w:p>
      <w:pPr>
        <w:spacing w:after="80" w:before="80"/>
        <w:ind w:left="720" w:righ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"A cobrança de juros em percentual superior à média do mercado é considerada abusiva quando há significativa discrepância, cabendo ao credor a prova de que as peculiaridades do negócio justificam essa diferença." — REsp 1.061.530/RS, Rel. Min. Nancy Andrighi, Tema 27/STJ</w:t>
      </w:r>
    </w:p>
    <w:p>
      <w:pPr>
        <w:spacing w:after="6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Macapá/AP, 15 de junho de 2026.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CONCEIÇÃO MARIA DUARTE PORTILHO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OAB/AP nº 3576</w:t>
      </w:r>
    </w:p>
    <w:sectPr>
      <w:pgSz w:w="11906" w:h="16838" w:orient="portrait"/>
      <w:pgMar w:top="1699" w:right="1411" w:bottom="1411" w:left="2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2026-06-15T19:12:09.888Z</dcterms:created>
  <dcterms:modified xsi:type="dcterms:W3CDTF">2026-06-15T19:12:09.889Z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