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0D74" w14:textId="411113B3" w:rsidR="008559A1" w:rsidRDefault="008559A1" w:rsidP="008559A1">
      <w:pPr>
        <w:spacing w:after="120"/>
        <w:jc w:val="right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EXCELENTÍSSIMO(A) SENHOR(A) DOUTOR(A) JUIZ(A) DE DIREITO DA VARA CÍVEL DA COMARCA DE MACAPÁ — ESTADO DO AMAPÁ</w:t>
      </w:r>
    </w:p>
    <w:p w14:paraId="57828A1B" w14:textId="77777777" w:rsidR="008559A1" w:rsidRDefault="008559A1" w:rsidP="008559A1">
      <w:pPr>
        <w:spacing w:after="120"/>
        <w:jc w:val="center"/>
        <w:rPr>
          <w:rFonts w:ascii="Arial" w:hAnsi="Arial" w:cs="Arial"/>
          <w:sz w:val="12"/>
        </w:rPr>
      </w:pPr>
    </w:p>
    <w:p w14:paraId="08835464" w14:textId="6188C9AB" w:rsidR="008559A1" w:rsidRDefault="008559A1" w:rsidP="008559A1">
      <w:pPr>
        <w:spacing w:after="12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SIMONE MARQUES MARTINS SEPEDA, brasileira, portadora do CPF nº 324.863.672-68 e RG nº 040825, residente e domiciliada na Rua Carlos Gomes, 301, Bairro Jesus de Nazaré, Macapá/AP, CEP 68908-125, por meio de sua advogada que esta subscreve (instrumento de mandato em anexo), vem, respeitosamente, à presença de Vossa Excelência, propor a presente</w:t>
      </w:r>
    </w:p>
    <w:p w14:paraId="06EE29B5" w14:textId="79C2C7E3" w:rsidR="008559A1" w:rsidRDefault="008559A1" w:rsidP="008559A1">
      <w:pPr>
        <w:spacing w:after="120"/>
        <w:jc w:val="right"/>
        <w:rPr>
          <w:rFonts w:ascii="Arial" w:hAnsi="Arial" w:cs="Arial"/>
          <w:b/>
          <w:sz w:val="28"/>
        </w:rPr>
      </w:pPr>
      <w:r w:rsidRPr="008559A1">
        <w:rPr>
          <w:rFonts w:ascii="Arial" w:hAnsi="Arial" w:cs="Arial"/>
          <w:b/>
          <w:sz w:val="28"/>
        </w:rPr>
        <w:t>AÇÃO REVISIONAL DE CONTRATO BANCÁRIO COM PEDIDO DE TUTELA DE URGÊNCIA</w:t>
      </w:r>
    </w:p>
    <w:p w14:paraId="64E2B1E0" w14:textId="02BFADA9" w:rsidR="008559A1" w:rsidRDefault="008559A1" w:rsidP="008559A1">
      <w:pPr>
        <w:spacing w:after="24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em face de MIDWAY S.A. — CRÉDITO, FINANCIAMENTO E INVESTIMENTO, instituição financeira inscrita no CNPJ/ME sob o nº 09.464.032/0001-12, com sede na Rua Lemos Monteiro, 120, 15º Andar, Edifício Pinheiros One, Butantã, São Paulo/SP, CEP 05501-050, pelos fatos e fundamentos a seguir expostos.</w:t>
      </w:r>
    </w:p>
    <w:p w14:paraId="4F23E46A" w14:textId="2EFE9119" w:rsidR="008559A1" w:rsidRDefault="008559A1" w:rsidP="008559A1">
      <w:pPr>
        <w:spacing w:after="120"/>
        <w:jc w:val="center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I — DOS FATOS</w:t>
      </w:r>
    </w:p>
    <w:p w14:paraId="3C273FEB" w14:textId="48CBFA5B" w:rsidR="008559A1" w:rsidRDefault="008559A1" w:rsidP="008559A1">
      <w:pPr>
        <w:spacing w:after="12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Em 27 de abril de 2026, a Autora celebrou com a Ré contrato de empréstimo pessoal (Cédula de Crédito Bancário — CCB nº 75879070), tendo recebido em sua conta corrente o valor líquido de R$ 1.600,00.</w:t>
      </w:r>
    </w:p>
    <w:p w14:paraId="6F5D650A" w14:textId="6CFA2166" w:rsidR="008559A1" w:rsidRDefault="008559A1" w:rsidP="008559A1">
      <w:pPr>
        <w:spacing w:after="12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Contudo, as condições impostas pela instituição financeira revelam práticas abusivas que tornam o contrato leonino e oneroso em desfavor da consumidora:</w:t>
      </w:r>
    </w:p>
    <w:p w14:paraId="7421B37C" w14:textId="7BAF5F9F" w:rsidR="008559A1" w:rsidRDefault="008559A1" w:rsidP="008559A1">
      <w:pPr>
        <w:spacing w:after="24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O valor total do empréstimo foi fixado em R$ 1.740,92, já incluindo, de forma compulsória, seguro prestamista no montante de R$ 112,00 e IOF de R$ 28,92; a taxa de juros remuneratórios foi pactuada em 14,99% ao mês (434,47% ao ano), muito superior à média de mercado; o CET alcança 15,62% ao mês (470,41% ao ano); o contrato prevê 8 parcelas de R$ 387,50, totalizando R$ 3.100,00 — ou seja, a Autora pagará R$ 1.500,00 a mais do que efetivamente recebeu, equivalente a 93,75% do valor liberado, em apenas 8 meses; o seguro foi incluído sem liberdade real de recusa, caracterizando venda casada; e o contrato autoriza débito em qualquer conta da Autora por prazo indeterminado.</w:t>
      </w:r>
    </w:p>
    <w:p w14:paraId="2988075C" w14:textId="628F0F04" w:rsidR="008559A1" w:rsidRDefault="008559A1" w:rsidP="008559A1">
      <w:pPr>
        <w:spacing w:after="120"/>
        <w:jc w:val="center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II — DO DIREITO</w:t>
      </w:r>
    </w:p>
    <w:p w14:paraId="18B73787" w14:textId="47DA010C" w:rsidR="008559A1" w:rsidRDefault="008559A1" w:rsidP="008559A1">
      <w:pPr>
        <w:spacing w:after="80"/>
        <w:jc w:val="center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2.1 Da Aplicabilidade do Código de Defesa do Consumidor</w:t>
      </w:r>
    </w:p>
    <w:p w14:paraId="0298A126" w14:textId="036396BD" w:rsidR="008559A1" w:rsidRDefault="008559A1" w:rsidP="008559A1">
      <w:pPr>
        <w:spacing w:after="16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A relação jurídica travada é inequivocamente de consumo, sujeitando-se às normas protetivas do CDC. O STJ pacificou: 'O Código de Defesa do Consumidor é aplicável às instituições financeiras' (Súmula 297, STJ). A Autora tem direito à revisão de cláusulas abusivas (CDC, art. 6º, V) e à nulidade das cláusulas iníquas (CDC, art. 51, IV).</w:t>
      </w:r>
    </w:p>
    <w:p w14:paraId="7124AB90" w14:textId="26D6A67B" w:rsidR="008559A1" w:rsidRDefault="008559A1" w:rsidP="008559A1">
      <w:pPr>
        <w:spacing w:after="80"/>
        <w:jc w:val="center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2.2 Dos Juros Remuneratórios Abusivos</w:t>
      </w:r>
    </w:p>
    <w:p w14:paraId="4C50E776" w14:textId="7C85782A" w:rsidR="008559A1" w:rsidRDefault="008559A1" w:rsidP="008559A1">
      <w:pPr>
        <w:spacing w:after="16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A taxa de 14,99% ao mês (434,47% ao ano) é manifestamente desproporcional e diverge de forma discrepante da taxa média de mercado divulgada pelo BACEN. O STJ, no REsp 1.061.530/RS (Tema 27 — Repetitivo), admite revisão quando a abusividade fica cabalmente demonstrada. A comparação entre R$ 1.600,00 recebidos e R$ 3.100,00 a pagar em 8 meses evidencia o desequilíbrio contratual, violando os arts. 421 e 422 do CC. Requer-se a redução à taxa média BACEN, com recálculo e restituição do excedente.</w:t>
      </w:r>
    </w:p>
    <w:p w14:paraId="76B4EF46" w14:textId="164C3570" w:rsidR="008559A1" w:rsidRDefault="008559A1" w:rsidP="008559A1">
      <w:pPr>
        <w:spacing w:after="80"/>
        <w:jc w:val="center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lastRenderedPageBreak/>
        <w:t>2.3 Do Seguro Prestamista Compulsório — Venda Casada</w:t>
      </w:r>
    </w:p>
    <w:p w14:paraId="3841EE03" w14:textId="50880FFF" w:rsidR="008559A1" w:rsidRDefault="008559A1" w:rsidP="008559A1">
      <w:pPr>
        <w:spacing w:after="16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O seguro de R$ 112,00 foi embutido compulsoriamente no valor financiado, configurando venda casada vedada pelo art. 39, I, do CDC. O STJ tem reiteradamente reconhecido a abusividade da contratação compulsória do seguro prestamista (REsp 1.639.259/SP). Agrava-se o fato de que o prêmio foi financiado, incidindo juros de 14,99% a.m. sobre os R$ 112,00. Requer-se a devolução em dobro (CDC, art. 42, §ún.) dos valores pagos a esse título.</w:t>
      </w:r>
    </w:p>
    <w:p w14:paraId="0ADAEE22" w14:textId="0BEE3278" w:rsidR="008559A1" w:rsidRDefault="008559A1" w:rsidP="008559A1">
      <w:pPr>
        <w:spacing w:after="80"/>
        <w:jc w:val="center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2.4 Da Capitalização de Juros</w:t>
      </w:r>
    </w:p>
    <w:p w14:paraId="7007E221" w14:textId="7F19D65B" w:rsidR="008559A1" w:rsidRDefault="008559A1" w:rsidP="008559A1">
      <w:pPr>
        <w:spacing w:after="16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O contrato prevê expressamente a capitalização mensal (cláusula 2). Embora admitida para instituições financeiras (Súmula 539, STJ), exige previsão contratual expressa e transparência ao consumidor sobre o impacto econômico real — requisito não adequadamente satisfeito no caso concreto, dada a vulnerabilidade da consumidora. Requer-se prova pericial para aferir a conformidade do cálculo com o pactuado.</w:t>
      </w:r>
    </w:p>
    <w:p w14:paraId="1FCDD1FF" w14:textId="35FDDF6E" w:rsidR="008559A1" w:rsidRDefault="008559A1" w:rsidP="008559A1">
      <w:pPr>
        <w:spacing w:after="80"/>
        <w:jc w:val="center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2.5 Da Cláusula de Débito Automático em Qualquer Conta</w:t>
      </w:r>
    </w:p>
    <w:p w14:paraId="5FFAFA55" w14:textId="3A628079" w:rsidR="008559A1" w:rsidRDefault="008559A1" w:rsidP="008559A1">
      <w:pPr>
        <w:spacing w:after="24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A cláusula 2.1.2 autoriza a Ré a debitar qualquer conta da Autora, a qualquer tempo e por prazo indeterminado, configurando desvantagem exagerada vedada pelo art. 51, IV, do CDC. Tal cláusula é nula de pleno direito.</w:t>
      </w:r>
    </w:p>
    <w:p w14:paraId="4AFE44A1" w14:textId="179BB479" w:rsidR="008559A1" w:rsidRDefault="008559A1" w:rsidP="008559A1">
      <w:pPr>
        <w:spacing w:after="120"/>
        <w:jc w:val="center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III — DA TUTELA DE URGÊNCIA</w:t>
      </w:r>
    </w:p>
    <w:p w14:paraId="7D966988" w14:textId="0E5B771A" w:rsidR="008559A1" w:rsidRDefault="008559A1" w:rsidP="008559A1">
      <w:pPr>
        <w:spacing w:after="12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Presentes a probabilidade do direito (abusividade manifesta das cláusulas) e o perigo de dano (risco de débitos automáticos continuarem sobre valores abusivos), requer-se, nos termos do art. 300 do CPC:</w:t>
      </w:r>
    </w:p>
    <w:p w14:paraId="11A7D2C1" w14:textId="17ACF767" w:rsidR="008559A1" w:rsidRDefault="008559A1" w:rsidP="008559A1">
      <w:pPr>
        <w:spacing w:after="24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a) Suspensão imediata dos débitos automáticos das parcelas do contrato CCB nº 75879070 na conta corrente nº 53676499, Agência 1001, Banco Midway, enquanto perdurar a ação; b) Alternativamente, limitação dos débitos ao valor das parcelas recalculadas com a taxa média BACEN, a ser apurada em perícia.</w:t>
      </w:r>
    </w:p>
    <w:p w14:paraId="5D6FACE8" w14:textId="20491F84" w:rsidR="008559A1" w:rsidRDefault="008559A1" w:rsidP="008559A1">
      <w:pPr>
        <w:spacing w:after="120"/>
        <w:jc w:val="center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IV — DAS PROVAS</w:t>
      </w:r>
    </w:p>
    <w:p w14:paraId="7E21AD92" w14:textId="1C23B058" w:rsidR="008559A1" w:rsidRDefault="008559A1" w:rsidP="008559A1">
      <w:pPr>
        <w:spacing w:after="24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A Autora requer: prova documental (contrato CCB nº 75879070 e anexos); prova pericial contábil, para apurar os valores pagos a maior, recalcular o contrato com as taxas médias BACEN e aferir o montante a ser restituído; ofício ao Banco Central do Brasil para fornecer as taxas médias de mercado da modalidade vigentes em abril de 2026 (SGS, série 20.751).</w:t>
      </w:r>
    </w:p>
    <w:p w14:paraId="0296E17A" w14:textId="7154B01A" w:rsidR="008559A1" w:rsidRDefault="008559A1" w:rsidP="008559A1">
      <w:pPr>
        <w:spacing w:after="120"/>
        <w:jc w:val="center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V — DOS PEDIDOS</w:t>
      </w:r>
    </w:p>
    <w:p w14:paraId="082F10C5" w14:textId="10A3072C" w:rsidR="008559A1" w:rsidRDefault="008559A1" w:rsidP="008559A1">
      <w:pPr>
        <w:spacing w:after="12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Ante o exposto, requer:</w:t>
      </w:r>
    </w:p>
    <w:p w14:paraId="573D1587" w14:textId="5D6FBF65" w:rsidR="008559A1" w:rsidRDefault="008559A1" w:rsidP="008559A1">
      <w:pPr>
        <w:spacing w:after="8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a) A concessão de tutela de urgência para suspender os débitos automáticos referentes ao contrato CCB nº 75879070, nos termos do item III;</w:t>
      </w:r>
    </w:p>
    <w:p w14:paraId="01C09226" w14:textId="53B36038" w:rsidR="008559A1" w:rsidRDefault="008559A1" w:rsidP="008559A1">
      <w:pPr>
        <w:spacing w:after="8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b) A citação da Ré para, querendo, contestar a presente ação;</w:t>
      </w:r>
    </w:p>
    <w:p w14:paraId="7EC003BE" w14:textId="2652FD0C" w:rsidR="008559A1" w:rsidRDefault="008559A1" w:rsidP="008559A1">
      <w:pPr>
        <w:spacing w:after="8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 xml:space="preserve">c) A procedência total dos pedidos para: c.1) declarar a nulidade das cláusulas abusivas identificadas; c.2) revisar a taxa de juros para a média BACEN, com recálculo de todas as parcelas; c.3) expurgar o seguro prestamista e restituir em dobro os valores pagos a esse título (CDC, art. 42, §ún.); c.4) condenar a Ré à restituição de todos os valores pagos a maior, corrigidos pelo IPCA-E e acrescidos de juros de mora de 1% ao mês desde cada pagamento (Súmula 54, STJ); c.5) </w:t>
      </w:r>
      <w:r w:rsidRPr="008559A1">
        <w:rPr>
          <w:rFonts w:ascii="Arial" w:hAnsi="Arial" w:cs="Arial"/>
          <w:sz w:val="24"/>
        </w:rPr>
        <w:lastRenderedPageBreak/>
        <w:t>declarar a nulidade da cláusula de débito automático em qualquer conta (cláusula 2.1.2);</w:t>
      </w:r>
    </w:p>
    <w:p w14:paraId="5966DDF0" w14:textId="5A5D153B" w:rsidR="008559A1" w:rsidRDefault="008559A1" w:rsidP="008559A1">
      <w:pPr>
        <w:spacing w:after="8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d) A condenação da Ré ao pagamento das custas e honorários (CPC, art. 85);</w:t>
      </w:r>
    </w:p>
    <w:p w14:paraId="1FF987CD" w14:textId="42DB8E7A" w:rsidR="008559A1" w:rsidRDefault="008559A1" w:rsidP="008559A1">
      <w:pPr>
        <w:spacing w:after="24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e) A concessão dos benefícios da justiça gratuita (CPC, art. 98).</w:t>
      </w:r>
    </w:p>
    <w:p w14:paraId="438739D2" w14:textId="35C2027C" w:rsidR="008559A1" w:rsidRDefault="008559A1" w:rsidP="008559A1">
      <w:pPr>
        <w:spacing w:after="24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Dá-se à causa o valor de R$ 3.100,00 (valor total do contrato impugnado).</w:t>
      </w:r>
    </w:p>
    <w:p w14:paraId="06491EA3" w14:textId="3E29003F" w:rsidR="008559A1" w:rsidRDefault="008559A1" w:rsidP="008559A1">
      <w:pPr>
        <w:spacing w:after="240"/>
        <w:jc w:val="distribute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Macapá/AP, 10 de junho de 2026.</w:t>
      </w:r>
    </w:p>
    <w:p w14:paraId="6E1BA277" w14:textId="3534A8EA" w:rsidR="008559A1" w:rsidRDefault="008559A1" w:rsidP="008559A1">
      <w:pPr>
        <w:spacing w:after="80"/>
        <w:jc w:val="right"/>
        <w:rPr>
          <w:rFonts w:ascii="Arial" w:hAnsi="Arial" w:cs="Arial"/>
          <w:b/>
          <w:sz w:val="24"/>
        </w:rPr>
      </w:pPr>
      <w:r w:rsidRPr="008559A1">
        <w:rPr>
          <w:rFonts w:ascii="Arial" w:hAnsi="Arial" w:cs="Arial"/>
          <w:b/>
          <w:sz w:val="24"/>
        </w:rPr>
        <w:t>Conceição Maria Duarte Portilho</w:t>
      </w:r>
    </w:p>
    <w:p w14:paraId="0FA40038" w14:textId="21A925E8" w:rsidR="008559A1" w:rsidRDefault="008559A1" w:rsidP="008559A1">
      <w:pPr>
        <w:spacing w:after="80"/>
        <w:jc w:val="right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OAB/AP nº 3576</w:t>
      </w:r>
    </w:p>
    <w:p w14:paraId="15574876" w14:textId="5083A6AA" w:rsidR="008559A1" w:rsidRDefault="008559A1" w:rsidP="008559A1">
      <w:pPr>
        <w:spacing w:after="80"/>
        <w:jc w:val="right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Av. Aimorés, 67, Beirol, Macapá/AP, CEP 68902-140</w:t>
      </w:r>
    </w:p>
    <w:p w14:paraId="48DFAA2C" w14:textId="479032D9" w:rsidR="008559A1" w:rsidRDefault="008559A1" w:rsidP="008559A1">
      <w:pPr>
        <w:spacing w:after="80"/>
        <w:jc w:val="right"/>
        <w:rPr>
          <w:rFonts w:ascii="Arial" w:hAnsi="Arial" w:cs="Arial"/>
          <w:sz w:val="24"/>
        </w:rPr>
      </w:pPr>
      <w:r w:rsidRPr="008559A1">
        <w:rPr>
          <w:rFonts w:ascii="Arial" w:hAnsi="Arial" w:cs="Arial"/>
          <w:sz w:val="24"/>
        </w:rPr>
        <w:t>conceicaoduarte.adv@gmail.com</w:t>
      </w:r>
    </w:p>
    <w:p w14:paraId="2C29A3F7" w14:textId="77777777" w:rsidR="008559A1" w:rsidRPr="008559A1" w:rsidRDefault="008559A1" w:rsidP="008559A1">
      <w:pPr>
        <w:spacing w:after="80"/>
        <w:jc w:val="right"/>
        <w:rPr>
          <w:rFonts w:ascii="Arial" w:hAnsi="Arial" w:cs="Arial"/>
          <w:sz w:val="24"/>
        </w:rPr>
      </w:pPr>
    </w:p>
    <w:sectPr w:rsidR="008559A1" w:rsidRPr="008559A1" w:rsidSect="008559A1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9A1"/>
    <w:rsid w:val="003B20C2"/>
    <w:rsid w:val="00530E35"/>
    <w:rsid w:val="005F238A"/>
    <w:rsid w:val="008559A1"/>
    <w:rsid w:val="00A930A8"/>
    <w:rsid w:val="00D46097"/>
    <w:rsid w:val="00DA0028"/>
    <w:rsid w:val="00E1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2159F"/>
  <w15:chartTrackingRefBased/>
  <w15:docId w15:val="{38AA2B08-2CAF-4789-8569-062E943C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855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5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5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5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5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59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59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59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59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5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5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5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59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59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5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59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5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5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59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5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59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5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59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59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59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59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5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59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5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CONCEIÇÃO DUARTE</dc:creator>
  <cp:keywords/>
  <dc:description/>
  <cp:lastModifiedBy>CONCEIÇÃO DUARTE</cp:lastModifiedBy>
  <cp:revision>1</cp:revision>
  <dcterms:created xsi:type="dcterms:W3CDTF">2026-06-10T21:17:00Z</dcterms:created>
  <dcterms:modified xsi:type="dcterms:W3CDTF">2026-06-10T21:17:00Z</dcterms:modified>
</cp:coreProperties>
</file>