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20" w:before="280"/>
      </w:pPr>
      <w:r>
        <w:t xml:space="preserve">Termo de Referência de referência — GPEDocs</w:t>
      </w:r>
    </w:p>
    <w:p>
      <w:pPr>
        <w:spacing w:after="120" w:line="276"/>
        <w:jc w:val="both"/>
      </w:pPr>
      <w:r>
        <w:t xml:space="preserve">Minuta de Termo de Referência montada a partir </w:t>
      </w:r>
      <w:r>
        <w:rPr>
          <w:b/>
          <w:bCs/>
        </w:rPr>
        <w:t xml:space="preserve">do que o sistema faz hoje</w:t>
      </w:r>
      <w:r>
        <w:t xml:space="preserve">, para oferecer a município que vá licitar gestão documental e para responder item a item a edital de terceiro. Mesmo modelo do TR do tributário (</w:t>
      </w:r>
      <w:r>
        <w:rPr>
          <w:rFonts w:ascii="Consolas" w:cs="Consolas" w:eastAsia="Consolas" w:hAnsi="Consolas"/>
          <w:sz w:val="19"/>
          <w:szCs w:val="19"/>
        </w:rPr>
        <w:t xml:space="preserve">gpd-web-tribut-rio/docs/propostas/tr-referencia/</w:t>
      </w:r>
      <w:r>
        <w:t xml:space="preserve">).</w:t>
      </w:r>
    </w:p>
    <w:p>
      <w:pPr>
        <w:pStyle w:val="Heading1"/>
        <w:keepNext/>
        <w:spacing w:after="120" w:before="280"/>
      </w:pPr>
      <w:r>
        <w:t xml:space="preserve">O que tem aqui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E8EDF2" w:color="auto" w:val="clear"/>
            <w:tcMar>
              <w:top w:type="dxa" w:w="60"/>
              <w:left w:type="dxa" w:w="110"/>
              <w:bottom w:type="dxa" w:w="60"/>
              <w:right w:type="dxa" w:w="110"/>
            </w:tcMar>
          </w:tcPr>
          <w:p>
            <w:r>
              <w:rPr>
                <w:b/>
                <w:bCs/>
                <w:sz w:val="19"/>
                <w:szCs w:val="19"/>
              </w:rPr>
              <w:t xml:space="preserve">Arquivo</w:t>
            </w:r>
          </w:p>
        </w:tc>
        <w:tc>
          <w:tcPr>
            <w:tcW w:type="dxa" w:w="4819"/>
            <w:shd w:fill="E8EDF2" w:color="auto" w:val="clear"/>
            <w:tcMar>
              <w:top w:type="dxa" w:w="60"/>
              <w:left w:type="dxa" w:w="110"/>
              <w:bottom w:type="dxa" w:w="60"/>
              <w:right w:type="dxa" w:w="110"/>
            </w:tcMar>
          </w:tcPr>
          <w:p>
            <w:r>
              <w:rPr>
                <w:b/>
                <w:bCs/>
                <w:sz w:val="19"/>
                <w:szCs w:val="19"/>
              </w:rPr>
              <w:t xml:space="preserve">O que é</w:t>
            </w:r>
          </w:p>
        </w:tc>
      </w:tr>
      <w:tr>
        <w:trPr>
          <w:tblHeader w:val="off"/>
        </w:trPr>
        <w:tc>
          <w:tcPr>
            <w:tcW w:type="dxa" w:w="4819"/>
            <w:tcMar>
              <w:top w:type="dxa" w:w="60"/>
              <w:left w:type="dxa" w:w="110"/>
              <w:bottom w:type="dxa" w:w="60"/>
              <w:right w:type="dxa" w:w="110"/>
            </w:tcMar>
          </w:tcPr>
          <w:p>
            <w:r>
              <w:rPr>
                <w:rFonts w:ascii="Consolas" w:cs="Consolas" w:eastAsia="Consolas" w:hAnsi="Consolas"/>
                <w:sz w:val="19"/>
                <w:szCs w:val="19"/>
              </w:rPr>
              <w:t xml:space="preserve">docx/TR-completo.docx</w:t>
            </w:r>
          </w:p>
        </w:tc>
        <w:tc>
          <w:tcPr>
            <w:tcW w:type="dxa" w:w="4819"/>
            <w:tcMar>
              <w:top w:type="dxa" w:w="60"/>
              <w:left w:type="dxa" w:w="110"/>
              <w:bottom w:type="dxa" w:w="60"/>
              <w:right w:type="dxa" w:w="110"/>
            </w:tcMar>
          </w:tcPr>
          <w:p>
            <w:r>
              <w:rPr>
                <w:b/>
                <w:bCs/>
                <w:sz w:val="19"/>
                <w:szCs w:val="19"/>
              </w:rPr>
              <w:t xml:space="preserve">148 requisitos</w:t>
            </w:r>
            <w:r>
              <w:rPr>
                <w:sz w:val="19"/>
                <w:szCs w:val="19"/>
              </w:rPr>
              <w:t xml:space="preserve"> — 19 RT, 16 RS, 113 RF</w:t>
            </w:r>
          </w:p>
        </w:tc>
      </w:tr>
      <w:tr>
        <w:trPr>
          <w:tblHeader w:val="off"/>
        </w:trPr>
        <w:tc>
          <w:tcPr>
            <w:tcW w:type="dxa" w:w="4819"/>
            <w:tcMar>
              <w:top w:type="dxa" w:w="60"/>
              <w:left w:type="dxa" w:w="110"/>
              <w:bottom w:type="dxa" w:w="60"/>
              <w:right w:type="dxa" w:w="110"/>
            </w:tcMar>
          </w:tcPr>
          <w:p>
            <w:r>
              <w:rPr>
                <w:rFonts w:ascii="Consolas" w:cs="Consolas" w:eastAsia="Consolas" w:hAnsi="Consolas"/>
                <w:sz w:val="19"/>
                <w:szCs w:val="19"/>
              </w:rPr>
              <w:t xml:space="preserve">docx/TR-enxuto.docx</w:t>
            </w:r>
          </w:p>
        </w:tc>
        <w:tc>
          <w:tcPr>
            <w:tcW w:type="dxa" w:w="4819"/>
            <w:tcMar>
              <w:top w:type="dxa" w:w="60"/>
              <w:left w:type="dxa" w:w="110"/>
              <w:bottom w:type="dxa" w:w="60"/>
              <w:right w:type="dxa" w:w="110"/>
            </w:tcMar>
          </w:tcPr>
          <w:p>
            <w:r>
              <w:rPr>
                <w:b/>
                <w:bCs/>
                <w:sz w:val="19"/>
                <w:szCs w:val="19"/>
              </w:rPr>
              <w:t xml:space="preserve">119 requisitos</w:t>
            </w:r>
            <w:r>
              <w:rPr>
                <w:sz w:val="19"/>
                <w:szCs w:val="19"/>
              </w:rPr>
              <w:t xml:space="preserve"> — sem carta de serviços/portal (6.15, 6.16) e sem integração (6.18)</w:t>
            </w:r>
          </w:p>
        </w:tc>
      </w:tr>
      <w:tr>
        <w:trPr>
          <w:tblHeader w:val="off"/>
        </w:trPr>
        <w:tc>
          <w:tcPr>
            <w:tcW w:type="dxa" w:w="4819"/>
            <w:tcMar>
              <w:top w:type="dxa" w:w="60"/>
              <w:left w:type="dxa" w:w="110"/>
              <w:bottom w:type="dxa" w:w="60"/>
              <w:right w:type="dxa" w:w="110"/>
            </w:tcMar>
          </w:tcPr>
          <w:p>
            <w:r>
              <w:rPr>
                <w:rFonts w:ascii="Consolas" w:cs="Consolas" w:eastAsia="Consolas" w:hAnsi="Consolas"/>
                <w:sz w:val="19"/>
                <w:szCs w:val="19"/>
              </w:rPr>
              <w:t xml:space="preserve">requisitos-gpedocs.csv</w:t>
            </w:r>
          </w:p>
        </w:tc>
        <w:tc>
          <w:tcPr>
            <w:tcW w:type="dxa" w:w="4819"/>
            <w:tcMar>
              <w:top w:type="dxa" w:w="60"/>
              <w:left w:type="dxa" w:w="110"/>
              <w:bottom w:type="dxa" w:w="60"/>
              <w:right w:type="dxa" w:w="110"/>
            </w:tcMar>
          </w:tcPr>
          <w:p>
            <w:r>
              <w:rPr>
                <w:sz w:val="19"/>
                <w:szCs w:val="19"/>
              </w:rPr>
              <w:t xml:space="preserve">os 148 em planilha, com a coluna que diz se está na enxuta. É o Anexo I</w:t>
            </w:r>
          </w:p>
        </w:tc>
      </w:tr>
      <w:tr>
        <w:trPr>
          <w:tblHeader w:val="off"/>
        </w:trPr>
        <w:tc>
          <w:tcPr>
            <w:tcW w:type="dxa" w:w="4819"/>
            <w:tcMar>
              <w:top w:type="dxa" w:w="60"/>
              <w:left w:type="dxa" w:w="110"/>
              <w:bottom w:type="dxa" w:w="60"/>
              <w:right w:type="dxa" w:w="110"/>
            </w:tcMar>
          </w:tcPr>
          <w:p>
            <w:r>
              <w:rPr>
                <w:rFonts w:ascii="Consolas" w:cs="Consolas" w:eastAsia="Consolas" w:hAnsi="Consolas"/>
                <w:sz w:val="19"/>
                <w:szCs w:val="19"/>
              </w:rPr>
              <w:t xml:space="preserve">00-abertura.md</w:t>
            </w:r>
            <w:r>
              <w:rPr>
                <w:sz w:val="19"/>
                <w:szCs w:val="19"/>
              </w:rPr>
              <w:t xml:space="preserve"> … </w:t>
            </w:r>
            <w:r>
              <w:rPr>
                <w:rFonts w:ascii="Consolas" w:cs="Consolas" w:eastAsia="Consolas" w:hAnsi="Consolas"/>
                <w:sz w:val="19"/>
                <w:szCs w:val="19"/>
              </w:rPr>
              <w:t xml:space="preserve">06-fechamento.md</w:t>
            </w:r>
          </w:p>
        </w:tc>
        <w:tc>
          <w:tcPr>
            <w:tcW w:type="dxa" w:w="4819"/>
            <w:tcMar>
              <w:top w:type="dxa" w:w="60"/>
              <w:left w:type="dxa" w:w="110"/>
              <w:bottom w:type="dxa" w:w="60"/>
              <w:right w:type="dxa" w:w="110"/>
            </w:tcMar>
          </w:tcPr>
          <w:p>
            <w:r>
              <w:rPr>
                <w:b/>
                <w:bCs/>
                <w:sz w:val="19"/>
                <w:szCs w:val="19"/>
              </w:rPr>
              <w:t xml:space="preserve">a fonte</w:t>
            </w:r>
            <w:r>
              <w:rPr>
                <w:sz w:val="19"/>
                <w:szCs w:val="19"/>
              </w:rPr>
              <w:t xml:space="preserve">. Os </w:t>
            </w:r>
            <w:r>
              <w:rPr>
                <w:rFonts w:ascii="Consolas" w:cs="Consolas" w:eastAsia="Consolas" w:hAnsi="Consolas"/>
                <w:sz w:val="19"/>
                <w:szCs w:val="19"/>
              </w:rPr>
              <w:t xml:space="preserve">.docx</w:t>
            </w:r>
            <w:r>
              <w:rPr>
                <w:sz w:val="19"/>
                <w:szCs w:val="19"/>
              </w:rPr>
              <w:t xml:space="preserve"> e o </w:t>
            </w:r>
            <w:r>
              <w:rPr>
                <w:rFonts w:ascii="Consolas" w:cs="Consolas" w:eastAsia="Consolas" w:hAnsi="Consolas"/>
                <w:sz w:val="19"/>
                <w:szCs w:val="19"/>
              </w:rPr>
              <w:t xml:space="preserve">.csv</w:t>
            </w:r>
            <w:r>
              <w:rPr>
                <w:sz w:val="19"/>
                <w:szCs w:val="19"/>
              </w:rPr>
              <w:t xml:space="preserve"> são gerados daqui</w:t>
            </w:r>
          </w:p>
        </w:tc>
      </w:tr>
      <w:tr>
        <w:trPr>
          <w:tblHeader w:val="off"/>
        </w:trPr>
        <w:tc>
          <w:tcPr>
            <w:tcW w:type="dxa" w:w="4819"/>
            <w:tcMar>
              <w:top w:type="dxa" w:w="60"/>
              <w:left w:type="dxa" w:w="110"/>
              <w:bottom w:type="dxa" w:w="60"/>
              <w:right w:type="dxa" w:w="110"/>
            </w:tcMar>
          </w:tcPr>
          <w:p>
            <w:r>
              <w:rPr>
                <w:rFonts w:ascii="Consolas" w:cs="Consolas" w:eastAsia="Consolas" w:hAnsi="Consolas"/>
                <w:sz w:val="19"/>
                <w:szCs w:val="19"/>
              </w:rPr>
              <w:t xml:space="preserve">medicao/A…E-*.md</w:t>
            </w:r>
          </w:p>
        </w:tc>
        <w:tc>
          <w:tcPr>
            <w:tcW w:type="dxa" w:w="4819"/>
            <w:tcMar>
              <w:top w:type="dxa" w:w="60"/>
              <w:left w:type="dxa" w:w="110"/>
              <w:bottom w:type="dxa" w:w="60"/>
              <w:right w:type="dxa" w:w="110"/>
            </w:tcMar>
          </w:tcPr>
          <w:p>
            <w:r>
              <w:rPr>
                <w:sz w:val="19"/>
                <w:szCs w:val="19"/>
              </w:rPr>
              <w:t xml:space="preserve">a medição original contra o código, item a item, com evidência </w:t>
            </w:r>
            <w:r>
              <w:rPr>
                <w:rFonts w:ascii="Consolas" w:cs="Consolas" w:eastAsia="Consolas" w:hAnsi="Consolas"/>
                <w:sz w:val="19"/>
                <w:szCs w:val="19"/>
              </w:rPr>
              <w:t xml:space="preserve">arquivo:símbolo</w:t>
            </w:r>
          </w:p>
        </w:tc>
      </w:tr>
    </w:tbl>
    <w:p>
      <w:r>
        <w:t xml:space="preserve"/>
      </w:r>
    </w:p>
    <w:p>
      <w:pPr>
        <w:spacing w:after="120" w:line="276"/>
        <w:jc w:val="both"/>
      </w:pPr>
      <w:r>
        <w:t xml:space="preserve">Gerar de novo, após editar os </w:t>
      </w:r>
      <w:r>
        <w:rPr>
          <w:rFonts w:ascii="Consolas" w:cs="Consolas" w:eastAsia="Consolas" w:hAnsi="Consolas"/>
          <w:sz w:val="19"/>
          <w:szCs w:val="19"/>
        </w:rPr>
        <w:t xml:space="preserve">.md</w:t>
      </w:r>
      <w:r>
        <w:t xml:space="preserve">:</w:t>
      </w:r>
    </w:p>
    <w:p>
      <w:pPr>
        <w:shd w:fill="F3F4F6" w:color="auto" w:val="clear"/>
        <w:spacing w:after="0"/>
        <w:ind w:left="240"/>
      </w:pPr>
      <w:r>
        <w:rPr>
          <w:rFonts w:ascii="Consolas" w:cs="Consolas" w:eastAsia="Consolas" w:hAnsi="Consolas"/>
          <w:sz w:val="18"/>
          <w:szCs w:val="18"/>
        </w:rPr>
        <w:t xml:space="preserve">npm install docx          # num diretório de trabalho, não no repo</w:t>
      </w:r>
    </w:p>
    <w:p>
      <w:pPr>
        <w:shd w:fill="F3F4F6" w:color="auto" w:val="clear"/>
        <w:spacing w:after="0"/>
        <w:ind w:left="240"/>
      </w:pPr>
      <w:r>
        <w:rPr>
          <w:rFonts w:ascii="Consolas" w:cs="Consolas" w:eastAsia="Consolas" w:hAnsi="Consolas"/>
          <w:sz w:val="18"/>
          <w:szCs w:val="18"/>
        </w:rPr>
        <w:t xml:space="preserve">node gerar-tr.js &lt;dir dos .md&gt; &lt;dir de saída&gt;</w:t>
      </w:r>
    </w:p>
    <w:p>
      <w:r>
        <w:t xml:space="preserve"/>
      </w:r>
    </w:p>
    <w:p>
      <w:pPr>
        <w:spacing w:after="120" w:line="276"/>
        <w:jc w:val="both"/>
      </w:pPr>
      <w:r>
        <w:t xml:space="preserve">A enxuta é </w:t>
      </w:r>
      <w:r>
        <w:rPr>
          <w:b/>
          <w:bCs/>
        </w:rPr>
        <w:t xml:space="preserve">subconjunto da completa</w:t>
      </w:r>
      <w:r>
        <w:t xml:space="preserve"> (constantes </w:t>
      </w:r>
      <w:r>
        <w:rPr>
          <w:rFonts w:ascii="Consolas" w:cs="Consolas" w:eastAsia="Consolas" w:hAnsi="Consolas"/>
          <w:sz w:val="19"/>
          <w:szCs w:val="19"/>
        </w:rPr>
        <w:t xml:space="preserve">ENXUTA_FAIXAS</w:t>
      </w:r>
      <w:r>
        <w:t xml:space="preserve"> e </w:t>
      </w:r>
      <w:r>
        <w:rPr>
          <w:rFonts w:ascii="Consolas" w:cs="Consolas" w:eastAsia="Consolas" w:hAnsi="Consolas"/>
          <w:sz w:val="19"/>
          <w:szCs w:val="19"/>
        </w:rPr>
        <w:t xml:space="preserve">ENXUTA_SECOES_FORA</w:t>
      </w:r>
      <w:r>
        <w:t xml:space="preserve"> do gerador), nunca texto paralelo.</w:t>
      </w:r>
    </w:p>
    <w:p>
      <w:pPr>
        <w:pStyle w:val="Heading1"/>
        <w:keepNext/>
        <w:spacing w:after="120" w:before="280"/>
      </w:pPr>
      <w:r>
        <w:t xml:space="preserve">De onde vieram os requisitos</w:t>
      </w:r>
    </w:p>
    <w:p>
      <w:pPr>
        <w:spacing w:after="120" w:line="276"/>
        <w:jc w:val="both"/>
      </w:pPr>
      <w:r>
        <w:t xml:space="preserve">Não havia edital de origem medido nem manual do usuário. A fonte foi o </w:t>
      </w:r>
      <w:r>
        <w:rPr>
          <w:b/>
          <w:bCs/>
        </w:rPr>
        <w:t xml:space="preserve">código</w:t>
      </w:r>
      <w:r>
        <w:t xml:space="preserve">, medido em 06/10/2026 em cinco áreas: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shd w:fill="E8EDF2" w:color="auto" w:val="clear"/>
            <w:tcMar>
              <w:top w:type="dxa" w:w="60"/>
              <w:left w:type="dxa" w:w="110"/>
              <w:bottom w:type="dxa" w:w="60"/>
              <w:right w:type="dxa" w:w="110"/>
            </w:tcMar>
          </w:tcPr>
          <w:p>
            <w:r>
              <w:rPr>
                <w:b/>
                <w:bCs/>
                <w:sz w:val="19"/>
                <w:szCs w:val="19"/>
              </w:rPr>
              <w:t xml:space="preserve">Área</w:t>
            </w:r>
          </w:p>
        </w:tc>
        <w:tc>
          <w:tcPr>
            <w:tcW w:type="dxa" w:w="1927"/>
            <w:shd w:fill="E8EDF2" w:color="auto" w:val="clear"/>
            <w:tcMar>
              <w:top w:type="dxa" w:w="60"/>
              <w:left w:type="dxa" w:w="110"/>
              <w:bottom w:type="dxa" w:w="60"/>
              <w:right w:type="dxa" w:w="110"/>
            </w:tcMar>
          </w:tcPr>
          <w:p>
            <w:r>
              <w:rPr>
                <w:b/>
                <w:bCs/>
                <w:sz w:val="19"/>
                <w:szCs w:val="19"/>
              </w:rPr>
              <w:t xml:space="preserve">Medidos</w:t>
            </w:r>
          </w:p>
        </w:tc>
        <w:tc>
          <w:tcPr>
            <w:tcW w:type="dxa" w:w="1927"/>
            <w:shd w:fill="E8EDF2" w:color="auto" w:val="clear"/>
            <w:tcMar>
              <w:top w:type="dxa" w:w="60"/>
              <w:left w:type="dxa" w:w="110"/>
              <w:bottom w:type="dxa" w:w="60"/>
              <w:right w:type="dxa" w:w="110"/>
            </w:tcMar>
          </w:tcPr>
          <w:p>
            <w:r>
              <w:rPr>
                <w:b/>
                <w:bCs/>
                <w:sz w:val="19"/>
                <w:szCs w:val="19"/>
              </w:rPr>
              <w:t xml:space="preserve">✅</w:t>
            </w:r>
          </w:p>
        </w:tc>
        <w:tc>
          <w:tcPr>
            <w:tcW w:type="dxa" w:w="1927"/>
            <w:shd w:fill="E8EDF2" w:color="auto" w:val="clear"/>
            <w:tcMar>
              <w:top w:type="dxa" w:w="60"/>
              <w:left w:type="dxa" w:w="110"/>
              <w:bottom w:type="dxa" w:w="60"/>
              <w:right w:type="dxa" w:w="110"/>
            </w:tcMar>
          </w:tcPr>
          <w:p>
            <w:r>
              <w:rPr>
                <w:b/>
                <w:bCs/>
                <w:sz w:val="19"/>
                <w:szCs w:val="19"/>
              </w:rPr>
              <w:t xml:space="preserve">🟡</w:t>
            </w:r>
          </w:p>
        </w:tc>
        <w:tc>
          <w:tcPr>
            <w:tcW w:type="dxa" w:w="1930"/>
            <w:shd w:fill="E8EDF2" w:color="auto" w:val="clear"/>
            <w:tcMar>
              <w:top w:type="dxa" w:w="60"/>
              <w:left w:type="dxa" w:w="110"/>
              <w:bottom w:type="dxa" w:w="60"/>
              <w:right w:type="dxa" w:w="110"/>
            </w:tcMar>
          </w:tcPr>
          <w:p>
            <w:r>
              <w:rPr>
                <w:b/>
                <w:bCs/>
                <w:sz w:val="19"/>
                <w:szCs w:val="19"/>
              </w:rPr>
              <w:t xml:space="preserve">❌</w:t>
            </w:r>
          </w:p>
        </w:tc>
      </w:tr>
      <w:tr>
        <w:trPr>
          <w:tblHeader w:val="off"/>
        </w:trPr>
        <w:tc>
          <w:tcPr>
            <w:tcW w:type="dxa" w:w="1927"/>
            <w:tcMar>
              <w:top w:type="dxa" w:w="60"/>
              <w:left w:type="dxa" w:w="110"/>
              <w:bottom w:type="dxa" w:w="60"/>
              <w:right w:type="dxa" w:w="110"/>
            </w:tcMar>
          </w:tcPr>
          <w:p>
            <w:r>
              <w:rPr>
                <w:sz w:val="19"/>
                <w:szCs w:val="19"/>
              </w:rPr>
              <w:t xml:space="preserve">A — Núcleo GED</w:t>
            </w:r>
          </w:p>
        </w:tc>
        <w:tc>
          <w:tcPr>
            <w:tcW w:type="dxa" w:w="1927"/>
            <w:tcMar>
              <w:top w:type="dxa" w:w="60"/>
              <w:left w:type="dxa" w:w="110"/>
              <w:bottom w:type="dxa" w:w="60"/>
              <w:right w:type="dxa" w:w="110"/>
            </w:tcMar>
          </w:tcPr>
          <w:p>
            <w:r>
              <w:rPr>
                <w:sz w:val="19"/>
                <w:szCs w:val="19"/>
              </w:rPr>
              <w:t xml:space="preserve">49</w:t>
            </w:r>
          </w:p>
        </w:tc>
        <w:tc>
          <w:tcPr>
            <w:tcW w:type="dxa" w:w="1927"/>
            <w:tcMar>
              <w:top w:type="dxa" w:w="60"/>
              <w:left w:type="dxa" w:w="110"/>
              <w:bottom w:type="dxa" w:w="60"/>
              <w:right w:type="dxa" w:w="110"/>
            </w:tcMar>
          </w:tcPr>
          <w:p>
            <w:r>
              <w:rPr>
                <w:sz w:val="19"/>
                <w:szCs w:val="19"/>
              </w:rPr>
              <w:t xml:space="preserve">21</w:t>
            </w:r>
          </w:p>
        </w:tc>
        <w:tc>
          <w:tcPr>
            <w:tcW w:type="dxa" w:w="1927"/>
            <w:tcMar>
              <w:top w:type="dxa" w:w="60"/>
              <w:left w:type="dxa" w:w="110"/>
              <w:bottom w:type="dxa" w:w="60"/>
              <w:right w:type="dxa" w:w="110"/>
            </w:tcMar>
          </w:tcPr>
          <w:p>
            <w:r>
              <w:rPr>
                <w:sz w:val="19"/>
                <w:szCs w:val="19"/>
              </w:rPr>
              <w:t xml:space="preserve">13</w:t>
            </w:r>
          </w:p>
        </w:tc>
        <w:tc>
          <w:tcPr>
            <w:tcW w:type="dxa" w:w="1930"/>
            <w:tcMar>
              <w:top w:type="dxa" w:w="60"/>
              <w:left w:type="dxa" w:w="110"/>
              <w:bottom w:type="dxa" w:w="60"/>
              <w:right w:type="dxa" w:w="110"/>
            </w:tcMar>
          </w:tcPr>
          <w:p>
            <w:r>
              <w:rPr>
                <w:sz w:val="19"/>
                <w:szCs w:val="19"/>
              </w:rPr>
              <w:t xml:space="preserve">15</w:t>
            </w:r>
          </w:p>
        </w:tc>
      </w:tr>
      <w:tr>
        <w:trPr>
          <w:tblHeader w:val="off"/>
        </w:trPr>
        <w:tc>
          <w:tcPr>
            <w:tcW w:type="dxa" w:w="1927"/>
            <w:tcMar>
              <w:top w:type="dxa" w:w="60"/>
              <w:left w:type="dxa" w:w="110"/>
              <w:bottom w:type="dxa" w:w="60"/>
              <w:right w:type="dxa" w:w="110"/>
            </w:tcMar>
          </w:tcPr>
          <w:p>
            <w:r>
              <w:rPr>
                <w:sz w:val="19"/>
                <w:szCs w:val="19"/>
              </w:rPr>
              <w:t xml:space="preserve">B — Assinatura</w:t>
            </w:r>
          </w:p>
        </w:tc>
        <w:tc>
          <w:tcPr>
            <w:tcW w:type="dxa" w:w="1927"/>
            <w:tcMar>
              <w:top w:type="dxa" w:w="60"/>
              <w:left w:type="dxa" w:w="110"/>
              <w:bottom w:type="dxa" w:w="60"/>
              <w:right w:type="dxa" w:w="110"/>
            </w:tcMar>
          </w:tcPr>
          <w:p>
            <w:r>
              <w:rPr>
                <w:sz w:val="19"/>
                <w:szCs w:val="19"/>
              </w:rPr>
              <w:t xml:space="preserve">46</w:t>
            </w:r>
          </w:p>
        </w:tc>
        <w:tc>
          <w:tcPr>
            <w:tcW w:type="dxa" w:w="1927"/>
            <w:tcMar>
              <w:top w:type="dxa" w:w="60"/>
              <w:left w:type="dxa" w:w="110"/>
              <w:bottom w:type="dxa" w:w="60"/>
              <w:right w:type="dxa" w:w="110"/>
            </w:tcMar>
          </w:tcPr>
          <w:p>
            <w:r>
              <w:rPr>
                <w:sz w:val="19"/>
                <w:szCs w:val="19"/>
              </w:rPr>
              <w:t xml:space="preserve">14</w:t>
            </w:r>
          </w:p>
        </w:tc>
        <w:tc>
          <w:tcPr>
            <w:tcW w:type="dxa" w:w="1927"/>
            <w:tcMar>
              <w:top w:type="dxa" w:w="60"/>
              <w:left w:type="dxa" w:w="110"/>
              <w:bottom w:type="dxa" w:w="60"/>
              <w:right w:type="dxa" w:w="110"/>
            </w:tcMar>
          </w:tcPr>
          <w:p>
            <w:r>
              <w:rPr>
                <w:sz w:val="19"/>
                <w:szCs w:val="19"/>
              </w:rPr>
              <w:t xml:space="preserve">15</w:t>
            </w:r>
          </w:p>
        </w:tc>
        <w:tc>
          <w:tcPr>
            <w:tcW w:type="dxa" w:w="1930"/>
            <w:tcMar>
              <w:top w:type="dxa" w:w="60"/>
              <w:left w:type="dxa" w:w="110"/>
              <w:bottom w:type="dxa" w:w="60"/>
              <w:right w:type="dxa" w:w="110"/>
            </w:tcMar>
          </w:tcPr>
          <w:p>
            <w:r>
              <w:rPr>
                <w:sz w:val="19"/>
                <w:szCs w:val="19"/>
              </w:rPr>
              <w:t xml:space="preserve">17</w:t>
            </w:r>
          </w:p>
        </w:tc>
      </w:tr>
      <w:tr>
        <w:trPr>
          <w:tblHeader w:val="off"/>
        </w:trPr>
        <w:tc>
          <w:tcPr>
            <w:tcW w:type="dxa" w:w="1927"/>
            <w:tcMar>
              <w:top w:type="dxa" w:w="60"/>
              <w:left w:type="dxa" w:w="110"/>
              <w:bottom w:type="dxa" w:w="60"/>
              <w:right w:type="dxa" w:w="110"/>
            </w:tcMar>
          </w:tcPr>
          <w:p>
            <w:r>
              <w:rPr>
                <w:sz w:val="19"/>
                <w:szCs w:val="19"/>
              </w:rPr>
              <w:t xml:space="preserve">C — Processo e comunicações</w:t>
            </w:r>
          </w:p>
        </w:tc>
        <w:tc>
          <w:tcPr>
            <w:tcW w:type="dxa" w:w="1927"/>
            <w:tcMar>
              <w:top w:type="dxa" w:w="60"/>
              <w:left w:type="dxa" w:w="110"/>
              <w:bottom w:type="dxa" w:w="60"/>
              <w:right w:type="dxa" w:w="110"/>
            </w:tcMar>
          </w:tcPr>
          <w:p>
            <w:r>
              <w:rPr>
                <w:sz w:val="19"/>
                <w:szCs w:val="19"/>
              </w:rPr>
              <w:t xml:space="preserve">66</w:t>
            </w:r>
          </w:p>
        </w:tc>
        <w:tc>
          <w:tcPr>
            <w:tcW w:type="dxa" w:w="1927"/>
            <w:tcMar>
              <w:top w:type="dxa" w:w="60"/>
              <w:left w:type="dxa" w:w="110"/>
              <w:bottom w:type="dxa" w:w="60"/>
              <w:right w:type="dxa" w:w="110"/>
            </w:tcMar>
          </w:tcPr>
          <w:p>
            <w:r>
              <w:rPr>
                <w:sz w:val="19"/>
                <w:szCs w:val="19"/>
              </w:rPr>
              <w:t xml:space="preserve">30</w:t>
            </w:r>
          </w:p>
        </w:tc>
        <w:tc>
          <w:tcPr>
            <w:tcW w:type="dxa" w:w="1927"/>
            <w:tcMar>
              <w:top w:type="dxa" w:w="60"/>
              <w:left w:type="dxa" w:w="110"/>
              <w:bottom w:type="dxa" w:w="60"/>
              <w:right w:type="dxa" w:w="110"/>
            </w:tcMar>
          </w:tcPr>
          <w:p>
            <w:r>
              <w:rPr>
                <w:sz w:val="19"/>
                <w:szCs w:val="19"/>
              </w:rPr>
              <w:t xml:space="preserve">14</w:t>
            </w:r>
          </w:p>
        </w:tc>
        <w:tc>
          <w:tcPr>
            <w:tcW w:type="dxa" w:w="1930"/>
            <w:tcMar>
              <w:top w:type="dxa" w:w="60"/>
              <w:left w:type="dxa" w:w="110"/>
              <w:bottom w:type="dxa" w:w="60"/>
              <w:right w:type="dxa" w:w="110"/>
            </w:tcMar>
          </w:tcPr>
          <w:p>
            <w:r>
              <w:rPr>
                <w:sz w:val="19"/>
                <w:szCs w:val="19"/>
              </w:rPr>
              <w:t xml:space="preserve">22</w:t>
            </w:r>
          </w:p>
        </w:tc>
      </w:tr>
      <w:tr>
        <w:trPr>
          <w:tblHeader w:val="off"/>
        </w:trPr>
        <w:tc>
          <w:tcPr>
            <w:tcW w:type="dxa" w:w="1927"/>
            <w:tcMar>
              <w:top w:type="dxa" w:w="60"/>
              <w:left w:type="dxa" w:w="110"/>
              <w:bottom w:type="dxa" w:w="60"/>
              <w:right w:type="dxa" w:w="110"/>
            </w:tcMar>
          </w:tcPr>
          <w:p>
            <w:r>
              <w:rPr>
                <w:sz w:val="19"/>
                <w:szCs w:val="19"/>
              </w:rPr>
              <w:t xml:space="preserve">D — Portal e integração</w:t>
            </w:r>
          </w:p>
        </w:tc>
        <w:tc>
          <w:tcPr>
            <w:tcW w:type="dxa" w:w="1927"/>
            <w:tcMar>
              <w:top w:type="dxa" w:w="60"/>
              <w:left w:type="dxa" w:w="110"/>
              <w:bottom w:type="dxa" w:w="60"/>
              <w:right w:type="dxa" w:w="110"/>
            </w:tcMar>
          </w:tcPr>
          <w:p>
            <w:r>
              <w:rPr>
                <w:sz w:val="19"/>
                <w:szCs w:val="19"/>
              </w:rPr>
              <w:t xml:space="preserve">63</w:t>
            </w:r>
          </w:p>
        </w:tc>
        <w:tc>
          <w:tcPr>
            <w:tcW w:type="dxa" w:w="1927"/>
            <w:tcMar>
              <w:top w:type="dxa" w:w="60"/>
              <w:left w:type="dxa" w:w="110"/>
              <w:bottom w:type="dxa" w:w="60"/>
              <w:right w:type="dxa" w:w="110"/>
            </w:tcMar>
          </w:tcPr>
          <w:p>
            <w:r>
              <w:rPr>
                <w:sz w:val="19"/>
                <w:szCs w:val="19"/>
              </w:rPr>
              <w:t xml:space="preserve">35</w:t>
            </w:r>
          </w:p>
        </w:tc>
        <w:tc>
          <w:tcPr>
            <w:tcW w:type="dxa" w:w="1927"/>
            <w:tcMar>
              <w:top w:type="dxa" w:w="60"/>
              <w:left w:type="dxa" w:w="110"/>
              <w:bottom w:type="dxa" w:w="60"/>
              <w:right w:type="dxa" w:w="110"/>
            </w:tcMar>
          </w:tcPr>
          <w:p>
            <w:r>
              <w:rPr>
                <w:sz w:val="19"/>
                <w:szCs w:val="19"/>
              </w:rPr>
              <w:t xml:space="preserve">7</w:t>
            </w:r>
          </w:p>
        </w:tc>
        <w:tc>
          <w:tcPr>
            <w:tcW w:type="dxa" w:w="1930"/>
            <w:tcMar>
              <w:top w:type="dxa" w:w="60"/>
              <w:left w:type="dxa" w:w="110"/>
              <w:bottom w:type="dxa" w:w="60"/>
              <w:right w:type="dxa" w:w="110"/>
            </w:tcMar>
          </w:tcPr>
          <w:p>
            <w:r>
              <w:rPr>
                <w:sz w:val="19"/>
                <w:szCs w:val="19"/>
              </w:rPr>
              <w:t xml:space="preserve">21</w:t>
            </w:r>
          </w:p>
        </w:tc>
      </w:tr>
      <w:tr>
        <w:trPr>
          <w:tblHeader w:val="off"/>
        </w:trPr>
        <w:tc>
          <w:tcPr>
            <w:tcW w:type="dxa" w:w="1927"/>
            <w:tcMar>
              <w:top w:type="dxa" w:w="60"/>
              <w:left w:type="dxa" w:w="110"/>
              <w:bottom w:type="dxa" w:w="60"/>
              <w:right w:type="dxa" w:w="110"/>
            </w:tcMar>
          </w:tcPr>
          <w:p>
            <w:r>
              <w:rPr>
                <w:sz w:val="19"/>
                <w:szCs w:val="19"/>
              </w:rPr>
              <w:t xml:space="preserve">E — Técnico, segurança e configuração</w:t>
            </w:r>
          </w:p>
        </w:tc>
        <w:tc>
          <w:tcPr>
            <w:tcW w:type="dxa" w:w="1927"/>
            <w:tcMar>
              <w:top w:type="dxa" w:w="60"/>
              <w:left w:type="dxa" w:w="110"/>
              <w:bottom w:type="dxa" w:w="60"/>
              <w:right w:type="dxa" w:w="110"/>
            </w:tcMar>
          </w:tcPr>
          <w:p>
            <w:r>
              <w:rPr>
                <w:sz w:val="19"/>
                <w:szCs w:val="19"/>
              </w:rPr>
              <w:t xml:space="preserve">61</w:t>
            </w:r>
          </w:p>
        </w:tc>
        <w:tc>
          <w:tcPr>
            <w:tcW w:type="dxa" w:w="1927"/>
            <w:tcMar>
              <w:top w:type="dxa" w:w="60"/>
              <w:left w:type="dxa" w:w="110"/>
              <w:bottom w:type="dxa" w:w="60"/>
              <w:right w:type="dxa" w:w="110"/>
            </w:tcMar>
          </w:tcPr>
          <w:p>
            <w:r>
              <w:rPr>
                <w:sz w:val="19"/>
                <w:szCs w:val="19"/>
              </w:rPr>
              <w:t xml:space="preserve">36</w:t>
            </w:r>
          </w:p>
        </w:tc>
        <w:tc>
          <w:tcPr>
            <w:tcW w:type="dxa" w:w="1927"/>
            <w:tcMar>
              <w:top w:type="dxa" w:w="60"/>
              <w:left w:type="dxa" w:w="110"/>
              <w:bottom w:type="dxa" w:w="60"/>
              <w:right w:type="dxa" w:w="110"/>
            </w:tcMar>
          </w:tcPr>
          <w:p>
            <w:r>
              <w:rPr>
                <w:sz w:val="19"/>
                <w:szCs w:val="19"/>
              </w:rPr>
              <w:t xml:space="preserve">9</w:t>
            </w:r>
          </w:p>
        </w:tc>
        <w:tc>
          <w:tcPr>
            <w:tcW w:type="dxa" w:w="1930"/>
            <w:tcMar>
              <w:top w:type="dxa" w:w="60"/>
              <w:left w:type="dxa" w:w="110"/>
              <w:bottom w:type="dxa" w:w="60"/>
              <w:right w:type="dxa" w:w="110"/>
            </w:tcMar>
          </w:tcPr>
          <w:p>
            <w:r>
              <w:rPr>
                <w:sz w:val="19"/>
                <w:szCs w:val="19"/>
              </w:rPr>
              <w:t xml:space="preserve">16</w:t>
            </w:r>
          </w:p>
        </w:tc>
      </w:tr>
      <w:tr>
        <w:trPr>
          <w:tblHeader w:val="off"/>
        </w:trPr>
        <w:tc>
          <w:tcPr>
            <w:tcW w:type="dxa" w:w="1927"/>
            <w:tcMar>
              <w:top w:type="dxa" w:w="60"/>
              <w:left w:type="dxa" w:w="110"/>
              <w:bottom w:type="dxa" w:w="60"/>
              <w:right w:type="dxa" w:w="110"/>
            </w:tcMar>
          </w:tcPr>
          <w:p>
            <w:r>
              <w:rPr>
                <w:b/>
                <w:bCs/>
                <w:sz w:val="19"/>
                <w:szCs w:val="19"/>
              </w:rPr>
              <w:t xml:space="preserve">Total</w:t>
            </w:r>
          </w:p>
        </w:tc>
        <w:tc>
          <w:tcPr>
            <w:tcW w:type="dxa" w:w="1927"/>
            <w:tcMar>
              <w:top w:type="dxa" w:w="60"/>
              <w:left w:type="dxa" w:w="110"/>
              <w:bottom w:type="dxa" w:w="60"/>
              <w:right w:type="dxa" w:w="110"/>
            </w:tcMar>
          </w:tcPr>
          <w:p>
            <w:r>
              <w:rPr>
                <w:b/>
                <w:bCs/>
                <w:sz w:val="19"/>
                <w:szCs w:val="19"/>
              </w:rPr>
              <w:t xml:space="preserve">285</w:t>
            </w:r>
          </w:p>
        </w:tc>
        <w:tc>
          <w:tcPr>
            <w:tcW w:type="dxa" w:w="1927"/>
            <w:tcMar>
              <w:top w:type="dxa" w:w="60"/>
              <w:left w:type="dxa" w:w="110"/>
              <w:bottom w:type="dxa" w:w="60"/>
              <w:right w:type="dxa" w:w="110"/>
            </w:tcMar>
          </w:tcPr>
          <w:p>
            <w:r>
              <w:rPr>
                <w:b/>
                <w:bCs/>
                <w:sz w:val="19"/>
                <w:szCs w:val="19"/>
              </w:rPr>
              <w:t xml:space="preserve">136</w:t>
            </w:r>
          </w:p>
        </w:tc>
        <w:tc>
          <w:tcPr>
            <w:tcW w:type="dxa" w:w="1927"/>
            <w:tcMar>
              <w:top w:type="dxa" w:w="60"/>
              <w:left w:type="dxa" w:w="110"/>
              <w:bottom w:type="dxa" w:w="60"/>
              <w:right w:type="dxa" w:w="110"/>
            </w:tcMar>
          </w:tcPr>
          <w:p>
            <w:r>
              <w:rPr>
                <w:b/>
                <w:bCs/>
                <w:sz w:val="19"/>
                <w:szCs w:val="19"/>
              </w:rPr>
              <w:t xml:space="preserve">58</w:t>
            </w:r>
          </w:p>
        </w:tc>
        <w:tc>
          <w:tcPr>
            <w:tcW w:type="dxa" w:w="1930"/>
            <w:tcMar>
              <w:top w:type="dxa" w:w="60"/>
              <w:left w:type="dxa" w:w="110"/>
              <w:bottom w:type="dxa" w:w="60"/>
              <w:right w:type="dxa" w:w="110"/>
            </w:tcMar>
          </w:tcPr>
          <w:p>
            <w:r>
              <w:rPr>
                <w:b/>
                <w:bCs/>
                <w:sz w:val="19"/>
                <w:szCs w:val="19"/>
              </w:rPr>
              <w:t xml:space="preserve">91</w:t>
            </w:r>
          </w:p>
        </w:tc>
      </w:tr>
    </w:tbl>
    <w:p>
      <w:r>
        <w:t xml:space="preserve"/>
      </w:r>
    </w:p>
    <w:p>
      <w:pPr>
        <w:spacing w:after="120" w:line="276"/>
        <w:jc w:val="both"/>
      </w:pPr>
      <w:r>
        <w:t xml:space="preserve">A primeira versão do TR (127 requisitos) saiu dessa medição. Depois, a branch </w:t>
      </w:r>
      <w:r>
        <w:rPr>
          <w:rFonts w:ascii="Consolas" w:cs="Consolas" w:eastAsia="Consolas" w:hAnsi="Consolas"/>
          <w:sz w:val="19"/>
          <w:szCs w:val="19"/>
        </w:rPr>
        <w:t xml:space="preserve">fix/pendencias-tr</w:t>
      </w:r>
      <w:r>
        <w:t xml:space="preserve"> corrigiu os defeitos que ela encontrou e o TR ganhou os 21 requisitos que passaram a valer — cada correção com teste de feature contra banco PostgreSQL. </w:t>
      </w:r>
      <w:r>
        <w:rPr>
          <w:b/>
          <w:bCs/>
        </w:rPr>
        <w:t xml:space="preserve">A pasta `medicao/` é o retrato de antes das correções</w:t>
      </w:r>
      <w:r>
        <w:t xml:space="preserve">: os itens 🟡 e ❌ dela que aparecem abaixo como corrigidos já não valem como estão escritos lá.</w:t>
      </w:r>
    </w:p>
    <w:p>
      <w:pPr>
        <w:spacing w:after="120" w:line="276"/>
        <w:jc w:val="both"/>
      </w:pPr>
      <w:r>
        <w:rPr>
          <w:b/>
          <w:bCs/>
        </w:rPr>
        <w:t xml:space="preserve">Critério de entrada no TR:</w:t>
      </w:r>
      <w:r>
        <w:t xml:space="preserve"> só o que </w:t>
      </w:r>
      <w:r>
        <w:rPr>
          <w:b/>
          <w:bCs/>
        </w:rPr>
        <w:t xml:space="preserve">passa numa prova de conceito hoje</w:t>
      </w:r>
      <w:r>
        <w:t xml:space="preserve">, seguindo o caminho inteiro (tela → rota → controller → banco). Item parcial entrou apenas na parte que funciona — por exemplo, "assinatura qualificada com certificado A1" (o A3 não foi testado com token físico), "PDF assinado" (e não "PDF com todas as assinaturas"), "envelope criptográfico verificável em leitor de PDF" (e não "PAdES AD-RB").</w:t>
      </w:r>
    </w:p>
    <w:p>
      <w:pPr>
        <w:pStyle w:val="Heading1"/>
        <w:keepNext/>
        <w:spacing w:after="120" w:before="280"/>
      </w:pPr>
      <w:r>
        <w:t xml:space="preserve">Corrigido na branch </w:t>
      </w:r>
      <w:r>
        <w:rPr>
          <w:rFonts w:ascii="Consolas" w:cs="Consolas" w:eastAsia="Consolas" w:hAnsi="Consolas"/>
          <w:sz w:val="19"/>
          <w:szCs w:val="19"/>
        </w:rPr>
        <w:t xml:space="preserve">fix/pendencias-tr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E8EDF2" w:color="auto" w:val="clear"/>
            <w:tcMar>
              <w:top w:type="dxa" w:w="60"/>
              <w:left w:type="dxa" w:w="110"/>
              <w:bottom w:type="dxa" w:w="60"/>
              <w:right w:type="dxa" w:w="110"/>
            </w:tcMar>
          </w:tcPr>
          <w:p>
            <w:r>
              <w:rPr>
                <w:b/>
                <w:bCs/>
                <w:sz w:val="19"/>
                <w:szCs w:val="19"/>
              </w:rPr>
              <w:t xml:space="preserve">Defeito encontrado na medição</w:t>
            </w:r>
          </w:p>
        </w:tc>
        <w:tc>
          <w:tcPr>
            <w:tcW w:type="dxa" w:w="4819"/>
            <w:shd w:fill="E8EDF2" w:color="auto" w:val="clear"/>
            <w:tcMar>
              <w:top w:type="dxa" w:w="60"/>
              <w:left w:type="dxa" w:w="110"/>
              <w:bottom w:type="dxa" w:w="60"/>
              <w:right w:type="dxa" w:w="110"/>
            </w:tcMar>
          </w:tcPr>
          <w:p>
            <w:r>
              <w:rPr>
                <w:b/>
                <w:bCs/>
                <w:sz w:val="19"/>
                <w:szCs w:val="19"/>
              </w:rPr>
              <w:t xml:space="preserve">Requisito do TR que passou a valer</w:t>
            </w:r>
          </w:p>
        </w:tc>
      </w:tr>
      <w:tr>
        <w:trPr>
          <w:tblHeader w:val="off"/>
        </w:trPr>
        <w:tc>
          <w:tcPr>
            <w:tcW w:type="dxa" w:w="4819"/>
            <w:tcMar>
              <w:top w:type="dxa" w:w="60"/>
              <w:left w:type="dxa" w:w="110"/>
              <w:bottom w:type="dxa" w:w="60"/>
              <w:right w:type="dxa" w:w="110"/>
            </w:tcMar>
          </w:tcPr>
          <w:p>
            <w:r>
              <w:rPr>
                <w:sz w:val="19"/>
                <w:szCs w:val="19"/>
              </w:rPr>
              <w:t xml:space="preserve">Perfis e permissões só cadastrais; qualquer usuário entrava na administração</w:t>
            </w:r>
          </w:p>
        </w:tc>
        <w:tc>
          <w:tcPr>
            <w:tcW w:type="dxa" w:w="4819"/>
            <w:tcMar>
              <w:top w:type="dxa" w:w="60"/>
              <w:left w:type="dxa" w:w="110"/>
              <w:bottom w:type="dxa" w:w="60"/>
              <w:right w:type="dxa" w:w="110"/>
            </w:tcMar>
          </w:tcPr>
          <w:p>
            <w:r>
              <w:rPr>
                <w:sz w:val="19"/>
                <w:szCs w:val="19"/>
              </w:rPr>
              <w:t xml:space="preserve">RS-008</w:t>
            </w:r>
          </w:p>
        </w:tc>
      </w:tr>
      <w:tr>
        <w:trPr>
          <w:tblHeader w:val="off"/>
        </w:trPr>
        <w:tc>
          <w:tcPr>
            <w:tcW w:type="dxa" w:w="4819"/>
            <w:tcMar>
              <w:top w:type="dxa" w:w="60"/>
              <w:left w:type="dxa" w:w="110"/>
              <w:bottom w:type="dxa" w:w="60"/>
              <w:right w:type="dxa" w:w="110"/>
            </w:tcMar>
          </w:tcPr>
          <w:p>
            <w:r>
              <w:rPr>
                <w:sz w:val="19"/>
                <w:szCs w:val="19"/>
              </w:rPr>
              <w:t xml:space="preserve">Qualquer usuário criava ou editava conta </w:t>
            </w:r>
            <w:r>
              <w:rPr>
                <w:rFonts w:ascii="Consolas" w:cs="Consolas" w:eastAsia="Consolas" w:hAnsi="Consolas"/>
                <w:sz w:val="19"/>
                <w:szCs w:val="19"/>
              </w:rPr>
              <w:t xml:space="preserve">super_admin</w:t>
            </w:r>
          </w:p>
        </w:tc>
        <w:tc>
          <w:tcPr>
            <w:tcW w:type="dxa" w:w="4819"/>
            <w:tcMar>
              <w:top w:type="dxa" w:w="60"/>
              <w:left w:type="dxa" w:w="110"/>
              <w:bottom w:type="dxa" w:w="60"/>
              <w:right w:type="dxa" w:w="110"/>
            </w:tcMar>
          </w:tcPr>
          <w:p>
            <w:r>
              <w:rPr>
                <w:sz w:val="19"/>
                <w:szCs w:val="19"/>
              </w:rPr>
              <w:t xml:space="preserve">RS-009</w:t>
            </w:r>
          </w:p>
        </w:tc>
      </w:tr>
      <w:tr>
        <w:trPr>
          <w:tblHeader w:val="off"/>
        </w:trPr>
        <w:tc>
          <w:tcPr>
            <w:tcW w:type="dxa" w:w="4819"/>
            <w:tcMar>
              <w:top w:type="dxa" w:w="60"/>
              <w:left w:type="dxa" w:w="110"/>
              <w:bottom w:type="dxa" w:w="60"/>
              <w:right w:type="dxa" w:w="110"/>
            </w:tcMar>
          </w:tcPr>
          <w:p>
            <w:r>
              <w:rPr>
                <w:sz w:val="19"/>
                <w:szCs w:val="19"/>
              </w:rPr>
              <w:t xml:space="preserve">Busca avançada e painéis mostravam dados de outras UGs</w:t>
            </w:r>
          </w:p>
        </w:tc>
        <w:tc>
          <w:tcPr>
            <w:tcW w:type="dxa" w:w="4819"/>
            <w:tcMar>
              <w:top w:type="dxa" w:w="60"/>
              <w:left w:type="dxa" w:w="110"/>
              <w:bottom w:type="dxa" w:w="60"/>
              <w:right w:type="dxa" w:w="110"/>
            </w:tcMar>
          </w:tcPr>
          <w:p>
            <w:r>
              <w:rPr>
                <w:sz w:val="19"/>
                <w:szCs w:val="19"/>
              </w:rPr>
              <w:t xml:space="preserve">RT-005</w:t>
            </w:r>
          </w:p>
        </w:tc>
      </w:tr>
      <w:tr>
        <w:trPr>
          <w:tblHeader w:val="off"/>
        </w:trPr>
        <w:tc>
          <w:tcPr>
            <w:tcW w:type="dxa" w:w="4819"/>
            <w:tcMar>
              <w:top w:type="dxa" w:w="60"/>
              <w:left w:type="dxa" w:w="110"/>
              <w:bottom w:type="dxa" w:w="60"/>
              <w:right w:type="dxa" w:w="110"/>
            </w:tcMar>
          </w:tcPr>
          <w:p>
            <w:r>
              <w:rPr>
                <w:sz w:val="19"/>
                <w:szCs w:val="19"/>
              </w:rPr>
              <w:t xml:space="preserve">Grau de sigilo gravado mas sem efeito; QR público expunha documento restrito</w:t>
            </w:r>
          </w:p>
        </w:tc>
        <w:tc>
          <w:tcPr>
            <w:tcW w:type="dxa" w:w="4819"/>
            <w:tcMar>
              <w:top w:type="dxa" w:w="60"/>
              <w:left w:type="dxa" w:w="110"/>
              <w:bottom w:type="dxa" w:w="60"/>
              <w:right w:type="dxa" w:w="110"/>
            </w:tcMar>
          </w:tcPr>
          <w:p>
            <w:r>
              <w:rPr>
                <w:sz w:val="19"/>
                <w:szCs w:val="19"/>
              </w:rPr>
              <w:t xml:space="preserve">RF-023, RF-340</w:t>
            </w:r>
          </w:p>
        </w:tc>
      </w:tr>
      <w:tr>
        <w:trPr>
          <w:tblHeader w:val="off"/>
        </w:trPr>
        <w:tc>
          <w:tcPr>
            <w:tcW w:type="dxa" w:w="4819"/>
            <w:tcMar>
              <w:top w:type="dxa" w:w="60"/>
              <w:left w:type="dxa" w:w="110"/>
              <w:bottom w:type="dxa" w:w="60"/>
              <w:right w:type="dxa" w:w="110"/>
            </w:tcMar>
          </w:tcPr>
          <w:p>
            <w:r>
              <w:rPr>
                <w:sz w:val="19"/>
                <w:szCs w:val="19"/>
              </w:rPr>
              <w:t xml:space="preserve">Dumps com CPF e hash de senha versionados; senhas no documento de deploy; </w:t>
            </w:r>
            <w:r>
              <w:rPr>
                <w:rFonts w:ascii="Consolas" w:cs="Consolas" w:eastAsia="Consolas" w:hAnsi="Consolas"/>
                <w:sz w:val="19"/>
                <w:szCs w:val="19"/>
              </w:rPr>
              <w:t xml:space="preserve">admin123</w:t>
            </w:r>
            <w:r>
              <w:rPr>
                <w:sz w:val="19"/>
                <w:szCs w:val="19"/>
              </w:rPr>
              <w:t xml:space="preserve"> fixo no seeder</w:t>
            </w:r>
          </w:p>
        </w:tc>
        <w:tc>
          <w:tcPr>
            <w:tcW w:type="dxa" w:w="4819"/>
            <w:tcMar>
              <w:top w:type="dxa" w:w="60"/>
              <w:left w:type="dxa" w:w="110"/>
              <w:bottom w:type="dxa" w:w="60"/>
              <w:right w:type="dxa" w:w="110"/>
            </w:tcMar>
          </w:tcPr>
          <w:p>
            <w:r>
              <w:rPr>
                <w:sz w:val="19"/>
                <w:szCs w:val="19"/>
              </w:rPr>
              <w:t xml:space="preserve">(operação — ver abaixo)</w:t>
            </w:r>
          </w:p>
        </w:tc>
      </w:tr>
      <w:tr>
        <w:trPr>
          <w:tblHeader w:val="off"/>
        </w:trPr>
        <w:tc>
          <w:tcPr>
            <w:tcW w:type="dxa" w:w="4819"/>
            <w:tcMar>
              <w:top w:type="dxa" w:w="60"/>
              <w:left w:type="dxa" w:w="110"/>
              <w:bottom w:type="dxa" w:w="60"/>
              <w:right w:type="dxa" w:w="110"/>
            </w:tcMar>
          </w:tcPr>
          <w:p>
            <w:r>
              <w:rPr>
                <w:sz w:val="19"/>
                <w:szCs w:val="19"/>
              </w:rPr>
              <w:t xml:space="preserve">Recusa não encerrava a solicitação, que virava "concluída"</w:t>
            </w:r>
          </w:p>
        </w:tc>
        <w:tc>
          <w:tcPr>
            <w:tcW w:type="dxa" w:w="4819"/>
            <w:tcMar>
              <w:top w:type="dxa" w:w="60"/>
              <w:left w:type="dxa" w:w="110"/>
              <w:bottom w:type="dxa" w:w="60"/>
              <w:right w:type="dxa" w:w="110"/>
            </w:tcMar>
          </w:tcPr>
          <w:p>
            <w:r>
              <w:rPr>
                <w:sz w:val="19"/>
                <w:szCs w:val="19"/>
              </w:rPr>
              <w:t xml:space="preserve">RF-115</w:t>
            </w:r>
          </w:p>
        </w:tc>
      </w:tr>
      <w:tr>
        <w:trPr>
          <w:tblHeader w:val="off"/>
        </w:trPr>
        <w:tc>
          <w:tcPr>
            <w:tcW w:type="dxa" w:w="4819"/>
            <w:tcMar>
              <w:top w:type="dxa" w:w="60"/>
              <w:left w:type="dxa" w:w="110"/>
              <w:bottom w:type="dxa" w:w="60"/>
              <w:right w:type="dxa" w:w="110"/>
            </w:tcMar>
          </w:tcPr>
          <w:p>
            <w:r>
              <w:rPr>
                <w:sz w:val="19"/>
                <w:szCs w:val="19"/>
              </w:rPr>
              <w:t xml:space="preserve">Certificado vencido ou inativado e CPF ausente não barravam a assinatura</w:t>
            </w:r>
          </w:p>
        </w:tc>
        <w:tc>
          <w:tcPr>
            <w:tcW w:type="dxa" w:w="4819"/>
            <w:tcMar>
              <w:top w:type="dxa" w:w="60"/>
              <w:left w:type="dxa" w:w="110"/>
              <w:bottom w:type="dxa" w:w="60"/>
              <w:right w:type="dxa" w:w="110"/>
            </w:tcMar>
          </w:tcPr>
          <w:p>
            <w:r>
              <w:rPr>
                <w:sz w:val="19"/>
                <w:szCs w:val="19"/>
              </w:rPr>
              <w:t xml:space="preserve">RF-102</w:t>
            </w:r>
          </w:p>
        </w:tc>
      </w:tr>
      <w:tr>
        <w:trPr>
          <w:tblHeader w:val="off"/>
        </w:trPr>
        <w:tc>
          <w:tcPr>
            <w:tcW w:type="dxa" w:w="4819"/>
            <w:tcMar>
              <w:top w:type="dxa" w:w="60"/>
              <w:left w:type="dxa" w:w="110"/>
              <w:bottom w:type="dxa" w:w="60"/>
              <w:right w:type="dxa" w:w="110"/>
            </w:tcMar>
          </w:tcPr>
          <w:p>
            <w:r>
              <w:rPr>
                <w:sz w:val="19"/>
                <w:szCs w:val="19"/>
              </w:rPr>
              <w:t xml:space="preserve">Manifesto de assinaturas baixável por qualquer usuário</w:t>
            </w:r>
          </w:p>
        </w:tc>
        <w:tc>
          <w:tcPr>
            <w:tcW w:type="dxa" w:w="4819"/>
            <w:tcMar>
              <w:top w:type="dxa" w:w="60"/>
              <w:left w:type="dxa" w:w="110"/>
              <w:bottom w:type="dxa" w:w="60"/>
              <w:right w:type="dxa" w:w="110"/>
            </w:tcMar>
          </w:tcPr>
          <w:p>
            <w:r>
              <w:rPr>
                <w:sz w:val="19"/>
                <w:szCs w:val="19"/>
              </w:rPr>
              <w:t xml:space="preserve">RF-121</w:t>
            </w:r>
          </w:p>
        </w:tc>
      </w:tr>
      <w:tr>
        <w:trPr>
          <w:tblHeader w:val="off"/>
        </w:trPr>
        <w:tc>
          <w:tcPr>
            <w:tcW w:type="dxa" w:w="4819"/>
            <w:tcMar>
              <w:top w:type="dxa" w:w="60"/>
              <w:left w:type="dxa" w:w="110"/>
              <w:bottom w:type="dxa" w:w="60"/>
              <w:right w:type="dxa" w:w="110"/>
            </w:tcMar>
          </w:tcPr>
          <w:p>
            <w:r>
              <w:rPr>
                <w:sz w:val="19"/>
                <w:szCs w:val="19"/>
              </w:rPr>
              <w:t xml:space="preserve">Envio para assinatura pela API duplicava o documento</w:t>
            </w:r>
          </w:p>
        </w:tc>
        <w:tc>
          <w:tcPr>
            <w:tcW w:type="dxa" w:w="4819"/>
            <w:tcMar>
              <w:top w:type="dxa" w:w="60"/>
              <w:left w:type="dxa" w:w="110"/>
              <w:bottom w:type="dxa" w:w="60"/>
              <w:right w:type="dxa" w:w="110"/>
            </w:tcMar>
          </w:tcPr>
          <w:p>
            <w:r>
              <w:rPr>
                <w:sz w:val="19"/>
                <w:szCs w:val="19"/>
              </w:rPr>
              <w:t xml:space="preserve">RF-405</w:t>
            </w:r>
          </w:p>
        </w:tc>
      </w:tr>
      <w:tr>
        <w:trPr>
          <w:tblHeader w:val="off"/>
        </w:trPr>
        <w:tc>
          <w:tcPr>
            <w:tcW w:type="dxa" w:w="4819"/>
            <w:tcMar>
              <w:top w:type="dxa" w:w="60"/>
              <w:left w:type="dxa" w:w="110"/>
              <w:bottom w:type="dxa" w:w="60"/>
              <w:right w:type="dxa" w:w="110"/>
            </w:tcMar>
          </w:tcPr>
          <w:p>
            <w:r>
              <w:rPr>
                <w:sz w:val="19"/>
                <w:szCs w:val="19"/>
              </w:rPr>
              <w:t xml:space="preserve">Editar tipo de processo em uso falhava</w:t>
            </w:r>
          </w:p>
        </w:tc>
        <w:tc>
          <w:tcPr>
            <w:tcW w:type="dxa" w:w="4819"/>
            <w:tcMar>
              <w:top w:type="dxa" w:w="60"/>
              <w:left w:type="dxa" w:w="110"/>
              <w:bottom w:type="dxa" w:w="60"/>
              <w:right w:type="dxa" w:w="110"/>
            </w:tcMar>
          </w:tcPr>
          <w:p>
            <w:r>
              <w:rPr>
                <w:sz w:val="19"/>
                <w:szCs w:val="19"/>
              </w:rPr>
              <w:t xml:space="preserve">RF-151</w:t>
            </w:r>
          </w:p>
        </w:tc>
      </w:tr>
      <w:tr>
        <w:trPr>
          <w:tblHeader w:val="off"/>
        </w:trPr>
        <w:tc>
          <w:tcPr>
            <w:tcW w:type="dxa" w:w="4819"/>
            <w:tcMar>
              <w:top w:type="dxa" w:w="60"/>
              <w:left w:type="dxa" w:w="110"/>
              <w:bottom w:type="dxa" w:w="60"/>
              <w:right w:type="dxa" w:w="110"/>
            </w:tcMar>
          </w:tcPr>
          <w:p>
            <w:r>
              <w:rPr>
                <w:sz w:val="19"/>
                <w:szCs w:val="19"/>
              </w:rPr>
              <w:t xml:space="preserve">Arquivos de todos os entes no mesmo diretório</w:t>
            </w:r>
          </w:p>
        </w:tc>
        <w:tc>
          <w:tcPr>
            <w:tcW w:type="dxa" w:w="4819"/>
            <w:tcMar>
              <w:top w:type="dxa" w:w="60"/>
              <w:left w:type="dxa" w:w="110"/>
              <w:bottom w:type="dxa" w:w="60"/>
              <w:right w:type="dxa" w:w="110"/>
            </w:tcMar>
          </w:tcPr>
          <w:p>
            <w:r>
              <w:rPr>
                <w:sz w:val="19"/>
                <w:szCs w:val="19"/>
              </w:rPr>
              <w:t xml:space="preserve">(isolamento: </w:t>
            </w:r>
            <w:r>
              <w:rPr>
                <w:rFonts w:ascii="Consolas" w:cs="Consolas" w:eastAsia="Consolas" w:hAnsi="Consolas"/>
                <w:sz w:val="19"/>
                <w:szCs w:val="19"/>
              </w:rPr>
              <w:t xml:space="preserve">tenants/&lt;ente&gt;/</w:t>
            </w:r>
            <w:r>
              <w:rPr>
                <w:sz w:val="19"/>
                <w:szCs w:val="19"/>
              </w:rPr>
              <w:t xml:space="preserve">)</w:t>
            </w:r>
          </w:p>
        </w:tc>
      </w:tr>
      <w:tr>
        <w:trPr>
          <w:tblHeader w:val="off"/>
        </w:trPr>
        <w:tc>
          <w:tcPr>
            <w:tcW w:type="dxa" w:w="4819"/>
            <w:tcMar>
              <w:top w:type="dxa" w:w="60"/>
              <w:left w:type="dxa" w:w="110"/>
              <w:bottom w:type="dxa" w:w="60"/>
              <w:right w:type="dxa" w:w="110"/>
            </w:tcMar>
          </w:tcPr>
          <w:p>
            <w:r>
              <w:rPr>
                <w:sz w:val="19"/>
                <w:szCs w:val="19"/>
              </w:rPr>
              <w:t xml:space="preserve">Abas de versões, metadados e auditoria da ficha sempre vazias</w:t>
            </w:r>
          </w:p>
        </w:tc>
        <w:tc>
          <w:tcPr>
            <w:tcW w:type="dxa" w:w="4819"/>
            <w:tcMar>
              <w:top w:type="dxa" w:w="60"/>
              <w:left w:type="dxa" w:w="110"/>
              <w:bottom w:type="dxa" w:w="60"/>
              <w:right w:type="dxa" w:w="110"/>
            </w:tcMar>
          </w:tcPr>
          <w:p>
            <w:r>
              <w:rPr>
                <w:sz w:val="19"/>
                <w:szCs w:val="19"/>
              </w:rPr>
              <w:t xml:space="preserve">RF-022, RF-032, RS-015</w:t>
            </w:r>
          </w:p>
        </w:tc>
      </w:tr>
      <w:tr>
        <w:trPr>
          <w:tblHeader w:val="off"/>
        </w:trPr>
        <w:tc>
          <w:tcPr>
            <w:tcW w:type="dxa" w:w="4819"/>
            <w:tcMar>
              <w:top w:type="dxa" w:w="60"/>
              <w:left w:type="dxa" w:w="110"/>
              <w:bottom w:type="dxa" w:w="60"/>
              <w:right w:type="dxa" w:w="110"/>
            </w:tcMar>
          </w:tcPr>
          <w:p>
            <w:r>
              <w:rPr>
                <w:sz w:val="19"/>
                <w:szCs w:val="19"/>
              </w:rPr>
              <w:t xml:space="preserve">"Recentes" e "Mais acessados" sempre vazios</w:t>
            </w:r>
          </w:p>
        </w:tc>
        <w:tc>
          <w:tcPr>
            <w:tcW w:type="dxa" w:w="4819"/>
            <w:tcMar>
              <w:top w:type="dxa" w:w="60"/>
              <w:left w:type="dxa" w:w="110"/>
              <w:bottom w:type="dxa" w:w="60"/>
              <w:right w:type="dxa" w:w="110"/>
            </w:tcMar>
          </w:tcPr>
          <w:p>
            <w:r>
              <w:rPr>
                <w:sz w:val="19"/>
                <w:szCs w:val="19"/>
              </w:rPr>
              <w:t xml:space="preserve">RF-053</w:t>
            </w:r>
          </w:p>
        </w:tc>
      </w:tr>
      <w:tr>
        <w:trPr>
          <w:tblHeader w:val="off"/>
        </w:trPr>
        <w:tc>
          <w:tcPr>
            <w:tcW w:type="dxa" w:w="4819"/>
            <w:tcMar>
              <w:top w:type="dxa" w:w="60"/>
              <w:left w:type="dxa" w:w="110"/>
              <w:bottom w:type="dxa" w:w="60"/>
              <w:right w:type="dxa" w:w="110"/>
            </w:tcMar>
          </w:tcPr>
          <w:p>
            <w:r>
              <w:rPr>
                <w:sz w:val="19"/>
                <w:szCs w:val="19"/>
              </w:rPr>
              <w:t xml:space="preserve">Obrigatoriedade de metadado e de campo de formulário só visual</w:t>
            </w:r>
          </w:p>
        </w:tc>
        <w:tc>
          <w:tcPr>
            <w:tcW w:type="dxa" w:w="4819"/>
            <w:tcMar>
              <w:top w:type="dxa" w:w="60"/>
              <w:left w:type="dxa" w:w="110"/>
              <w:bottom w:type="dxa" w:w="60"/>
              <w:right w:type="dxa" w:w="110"/>
            </w:tcMar>
          </w:tcPr>
          <w:p>
            <w:r>
              <w:rPr>
                <w:sz w:val="19"/>
                <w:szCs w:val="19"/>
              </w:rPr>
              <w:t xml:space="preserve">RF-021, RF-152</w:t>
            </w:r>
          </w:p>
        </w:tc>
      </w:tr>
      <w:tr>
        <w:trPr>
          <w:tblHeader w:val="off"/>
        </w:trPr>
        <w:tc>
          <w:tcPr>
            <w:tcW w:type="dxa" w:w="4819"/>
            <w:tcMar>
              <w:top w:type="dxa" w:w="60"/>
              <w:left w:type="dxa" w:w="110"/>
              <w:bottom w:type="dxa" w:w="60"/>
              <w:right w:type="dxa" w:w="110"/>
            </w:tcMar>
          </w:tcPr>
          <w:p>
            <w:r>
              <w:rPr>
                <w:sz w:val="19"/>
                <w:szCs w:val="19"/>
              </w:rPr>
              <w:t xml:space="preserve">Anexos de processo e de comunicações sem rota de download</w:t>
            </w:r>
          </w:p>
        </w:tc>
        <w:tc>
          <w:tcPr>
            <w:tcW w:type="dxa" w:w="4819"/>
            <w:tcMar>
              <w:top w:type="dxa" w:w="60"/>
              <w:left w:type="dxa" w:w="110"/>
              <w:bottom w:type="dxa" w:w="60"/>
              <w:right w:type="dxa" w:w="110"/>
            </w:tcMar>
          </w:tcPr>
          <w:p>
            <w:r>
              <w:rPr>
                <w:sz w:val="19"/>
                <w:szCs w:val="19"/>
              </w:rPr>
              <w:t xml:space="preserve">RF-157, RF-216</w:t>
            </w:r>
          </w:p>
        </w:tc>
      </w:tr>
      <w:tr>
        <w:trPr>
          <w:tblHeader w:val="off"/>
        </w:trPr>
        <w:tc>
          <w:tcPr>
            <w:tcW w:type="dxa" w:w="4819"/>
            <w:tcMar>
              <w:top w:type="dxa" w:w="60"/>
              <w:left w:type="dxa" w:w="110"/>
              <w:bottom w:type="dxa" w:w="60"/>
              <w:right w:type="dxa" w:w="110"/>
            </w:tcMar>
          </w:tcPr>
          <w:p>
            <w:r>
              <w:rPr>
                <w:sz w:val="19"/>
                <w:szCs w:val="19"/>
              </w:rPr>
              <w:t xml:space="preserve">Comentário de processo postava em rota inexistente</w:t>
            </w:r>
          </w:p>
        </w:tc>
        <w:tc>
          <w:tcPr>
            <w:tcW w:type="dxa" w:w="4819"/>
            <w:tcMar>
              <w:top w:type="dxa" w:w="60"/>
              <w:left w:type="dxa" w:w="110"/>
              <w:bottom w:type="dxa" w:w="60"/>
              <w:right w:type="dxa" w:w="110"/>
            </w:tcMar>
          </w:tcPr>
          <w:p>
            <w:r>
              <w:rPr>
                <w:sz w:val="19"/>
                <w:szCs w:val="19"/>
              </w:rPr>
              <w:t xml:space="preserve">RF-180</w:t>
            </w:r>
          </w:p>
        </w:tc>
      </w:tr>
      <w:tr>
        <w:trPr>
          <w:tblHeader w:val="off"/>
        </w:trPr>
        <w:tc>
          <w:tcPr>
            <w:tcW w:type="dxa" w:w="4819"/>
            <w:tcMar>
              <w:top w:type="dxa" w:w="60"/>
              <w:left w:type="dxa" w:w="110"/>
              <w:bottom w:type="dxa" w:w="60"/>
              <w:right w:type="dxa" w:w="110"/>
            </w:tcMar>
          </w:tcPr>
          <w:p>
            <w:r>
              <w:rPr>
                <w:sz w:val="19"/>
                <w:szCs w:val="19"/>
              </w:rPr>
              <w:t xml:space="preserve">Receber, despachar e cancelar sem conferência no servidor; sem botão de receber e de cancelar</w:t>
            </w:r>
          </w:p>
        </w:tc>
        <w:tc>
          <w:tcPr>
            <w:tcW w:type="dxa" w:w="4819"/>
            <w:tcMar>
              <w:top w:type="dxa" w:w="60"/>
              <w:left w:type="dxa" w:w="110"/>
              <w:bottom w:type="dxa" w:w="60"/>
              <w:right w:type="dxa" w:w="110"/>
            </w:tcMar>
          </w:tcPr>
          <w:p>
            <w:r>
              <w:rPr>
                <w:sz w:val="19"/>
                <w:szCs w:val="19"/>
              </w:rPr>
              <w:t xml:space="preserve">RF-177, RF-178, RF-179</w:t>
            </w:r>
          </w:p>
        </w:tc>
      </w:tr>
      <w:tr>
        <w:trPr>
          <w:tblHeader w:val="off"/>
        </w:trPr>
        <w:tc>
          <w:tcPr>
            <w:tcW w:type="dxa" w:w="4819"/>
            <w:tcMar>
              <w:top w:type="dxa" w:w="60"/>
              <w:left w:type="dxa" w:w="110"/>
              <w:bottom w:type="dxa" w:w="60"/>
              <w:right w:type="dxa" w:w="110"/>
            </w:tcMar>
          </w:tcPr>
          <w:p>
            <w:r>
              <w:rPr>
                <w:sz w:val="19"/>
                <w:szCs w:val="19"/>
              </w:rPr>
              <w:t xml:space="preserve">Histórico do processo gravado e nunca exibido</w:t>
            </w:r>
          </w:p>
        </w:tc>
        <w:tc>
          <w:tcPr>
            <w:tcW w:type="dxa" w:w="4819"/>
            <w:tcMar>
              <w:top w:type="dxa" w:w="60"/>
              <w:left w:type="dxa" w:w="110"/>
              <w:bottom w:type="dxa" w:w="60"/>
              <w:right w:type="dxa" w:w="110"/>
            </w:tcMar>
          </w:tcPr>
          <w:p>
            <w:r>
              <w:rPr>
                <w:sz w:val="19"/>
                <w:szCs w:val="19"/>
              </w:rPr>
              <w:t xml:space="preserve">RS-016</w:t>
            </w:r>
          </w:p>
        </w:tc>
      </w:tr>
      <w:tr>
        <w:trPr>
          <w:tblHeader w:val="off"/>
        </w:trPr>
        <w:tc>
          <w:tcPr>
            <w:tcW w:type="dxa" w:w="4819"/>
            <w:tcMar>
              <w:top w:type="dxa" w:w="60"/>
              <w:left w:type="dxa" w:w="110"/>
              <w:bottom w:type="dxa" w:w="60"/>
              <w:right w:type="dxa" w:w="110"/>
            </w:tcMar>
          </w:tcPr>
          <w:p>
            <w:r>
              <w:rPr>
                <w:sz w:val="19"/>
                <w:szCs w:val="19"/>
              </w:rPr>
              <w:t xml:space="preserve">"Ver todas as notificações" abria JSON bruto</w:t>
            </w:r>
          </w:p>
        </w:tc>
        <w:tc>
          <w:tcPr>
            <w:tcW w:type="dxa" w:w="4819"/>
            <w:tcMar>
              <w:top w:type="dxa" w:w="60"/>
              <w:left w:type="dxa" w:w="110"/>
              <w:bottom w:type="dxa" w:w="60"/>
              <w:right w:type="dxa" w:w="110"/>
            </w:tcMar>
          </w:tcPr>
          <w:p>
            <w:r>
              <w:rPr>
                <w:sz w:val="19"/>
                <w:szCs w:val="19"/>
              </w:rPr>
              <w:t xml:space="preserve">RF-232</w:t>
            </w:r>
          </w:p>
        </w:tc>
      </w:tr>
      <w:tr>
        <w:trPr>
          <w:tblHeader w:val="off"/>
        </w:trPr>
        <w:tc>
          <w:tcPr>
            <w:tcW w:type="dxa" w:w="4819"/>
            <w:tcMar>
              <w:top w:type="dxa" w:w="60"/>
              <w:left w:type="dxa" w:w="110"/>
              <w:bottom w:type="dxa" w:w="60"/>
              <w:right w:type="dxa" w:w="110"/>
            </w:tcMar>
          </w:tcPr>
          <w:p>
            <w:r>
              <w:rPr>
                <w:sz w:val="19"/>
                <w:szCs w:val="19"/>
              </w:rPr>
              <w:t xml:space="preserve">Ordem de signatários gravada e ignorada</w:t>
            </w:r>
          </w:p>
        </w:tc>
        <w:tc>
          <w:tcPr>
            <w:tcW w:type="dxa" w:w="4819"/>
            <w:tcMar>
              <w:top w:type="dxa" w:w="60"/>
              <w:left w:type="dxa" w:w="110"/>
              <w:bottom w:type="dxa" w:w="60"/>
              <w:right w:type="dxa" w:w="110"/>
            </w:tcMar>
          </w:tcPr>
          <w:p>
            <w:r>
              <w:rPr>
                <w:sz w:val="19"/>
                <w:szCs w:val="19"/>
              </w:rPr>
              <w:t xml:space="preserve">RF-114</w:t>
            </w:r>
          </w:p>
        </w:tc>
      </w:tr>
      <w:tr>
        <w:trPr>
          <w:tblHeader w:val="off"/>
        </w:trPr>
        <w:tc>
          <w:tcPr>
            <w:tcW w:type="dxa" w:w="4819"/>
            <w:tcMar>
              <w:top w:type="dxa" w:w="60"/>
              <w:left w:type="dxa" w:w="110"/>
              <w:bottom w:type="dxa" w:w="60"/>
              <w:right w:type="dxa" w:w="110"/>
            </w:tcMar>
          </w:tcPr>
          <w:p>
            <w:r>
              <w:rPr>
                <w:sz w:val="19"/>
                <w:szCs w:val="19"/>
              </w:rPr>
              <w:t xml:space="preserve">Sem lixeira; reativação de pasta só no servidor</w:t>
            </w:r>
          </w:p>
        </w:tc>
        <w:tc>
          <w:tcPr>
            <w:tcW w:type="dxa" w:w="4819"/>
            <w:tcMar>
              <w:top w:type="dxa" w:w="60"/>
              <w:left w:type="dxa" w:w="110"/>
              <w:bottom w:type="dxa" w:w="60"/>
              <w:right w:type="dxa" w:w="110"/>
            </w:tcMar>
          </w:tcPr>
          <w:p>
            <w:r>
              <w:rPr>
                <w:sz w:val="19"/>
                <w:szCs w:val="19"/>
              </w:rPr>
              <w:t xml:space="preserve">RF-003, RF-061</w:t>
            </w:r>
          </w:p>
        </w:tc>
      </w:tr>
      <w:tr>
        <w:trPr>
          <w:tblHeader w:val="off"/>
        </w:trPr>
        <w:tc>
          <w:tcPr>
            <w:tcW w:type="dxa" w:w="4819"/>
            <w:tcMar>
              <w:top w:type="dxa" w:w="60"/>
              <w:left w:type="dxa" w:w="110"/>
              <w:bottom w:type="dxa" w:w="60"/>
              <w:right w:type="dxa" w:w="110"/>
            </w:tcMar>
          </w:tcPr>
          <w:p>
            <w:r>
              <w:rPr>
                <w:sz w:val="19"/>
                <w:szCs w:val="19"/>
              </w:rPr>
              <w:t xml:space="preserve">Link "Esqueceu a senha?" dava 404; login sem limite de tentativas</w:t>
            </w:r>
          </w:p>
        </w:tc>
        <w:tc>
          <w:tcPr>
            <w:tcW w:type="dxa" w:w="4819"/>
            <w:tcMar>
              <w:top w:type="dxa" w:w="60"/>
              <w:left w:type="dxa" w:w="110"/>
              <w:bottom w:type="dxa" w:w="60"/>
              <w:right w:type="dxa" w:w="110"/>
            </w:tcMar>
          </w:tcPr>
          <w:p>
            <w:r>
              <w:rPr>
                <w:sz w:val="19"/>
                <w:szCs w:val="19"/>
              </w:rPr>
              <w:t xml:space="preserve">RS-010, RS-011</w:t>
            </w:r>
          </w:p>
        </w:tc>
      </w:tr>
      <w:tr>
        <w:trPr>
          <w:tblHeader w:val="off"/>
        </w:trPr>
        <w:tc>
          <w:tcPr>
            <w:tcW w:type="dxa" w:w="4819"/>
            <w:tcMar>
              <w:top w:type="dxa" w:w="60"/>
              <w:left w:type="dxa" w:w="110"/>
              <w:bottom w:type="dxa" w:w="60"/>
              <w:right w:type="dxa" w:w="110"/>
            </w:tcMar>
          </w:tcPr>
          <w:p>
            <w:r>
              <w:rPr>
                <w:sz w:val="19"/>
                <w:szCs w:val="19"/>
              </w:rPr>
              <w:t xml:space="preserve">QR do termo de assinatura caía na tela genérica; página de verificação sem assinaturas</w:t>
            </w:r>
          </w:p>
        </w:tc>
        <w:tc>
          <w:tcPr>
            <w:tcW w:type="dxa" w:w="4819"/>
            <w:tcMar>
              <w:top w:type="dxa" w:w="60"/>
              <w:left w:type="dxa" w:w="110"/>
              <w:bottom w:type="dxa" w:w="60"/>
              <w:right w:type="dxa" w:w="110"/>
            </w:tcMar>
          </w:tcPr>
          <w:p>
            <w:r>
              <w:rPr>
                <w:sz w:val="19"/>
                <w:szCs w:val="19"/>
              </w:rPr>
              <w:t xml:space="preserve">RF-107, RF-340</w:t>
            </w:r>
          </w:p>
        </w:tc>
      </w:tr>
      <w:tr>
        <w:trPr>
          <w:tblHeader w:val="off"/>
        </w:trPr>
        <w:tc>
          <w:tcPr>
            <w:tcW w:type="dxa" w:w="4819"/>
            <w:tcMar>
              <w:top w:type="dxa" w:w="60"/>
              <w:left w:type="dxa" w:w="110"/>
              <w:bottom w:type="dxa" w:w="60"/>
              <w:right w:type="dxa" w:w="110"/>
            </w:tcMar>
          </w:tcPr>
          <w:p>
            <w:r>
              <w:rPr>
                <w:sz w:val="19"/>
                <w:szCs w:val="19"/>
              </w:rPr>
              <w:t xml:space="preserve">QR dos PDFs de memorando, ofício e circular apontava para rota inexistente</w:t>
            </w:r>
          </w:p>
        </w:tc>
        <w:tc>
          <w:tcPr>
            <w:tcW w:type="dxa" w:w="4819"/>
            <w:tcMar>
              <w:top w:type="dxa" w:w="60"/>
              <w:left w:type="dxa" w:w="110"/>
              <w:bottom w:type="dxa" w:w="60"/>
              <w:right w:type="dxa" w:w="110"/>
            </w:tcMar>
          </w:tcPr>
          <w:p>
            <w:r>
              <w:rPr>
                <w:sz w:val="19"/>
                <w:szCs w:val="19"/>
              </w:rPr>
              <w:t xml:space="preserve">RF-217</w:t>
            </w:r>
          </w:p>
        </w:tc>
      </w:tr>
      <w:tr>
        <w:trPr>
          <w:tblHeader w:val="off"/>
        </w:trPr>
        <w:tc>
          <w:tcPr>
            <w:tcW w:type="dxa" w:w="4819"/>
            <w:tcMar>
              <w:top w:type="dxa" w:w="60"/>
              <w:left w:type="dxa" w:w="110"/>
              <w:bottom w:type="dxa" w:w="60"/>
              <w:right w:type="dxa" w:w="110"/>
            </w:tcMar>
          </w:tcPr>
          <w:p>
            <w:r>
              <w:rPr>
                <w:sz w:val="19"/>
                <w:szCs w:val="19"/>
              </w:rPr>
              <w:t xml:space="preserve">A3: assinatura devolvida pelo token gravada sem conferência</w:t>
            </w:r>
          </w:p>
        </w:tc>
        <w:tc>
          <w:tcPr>
            <w:tcW w:type="dxa" w:w="4819"/>
            <w:tcMar>
              <w:top w:type="dxa" w:w="60"/>
              <w:left w:type="dxa" w:w="110"/>
              <w:bottom w:type="dxa" w:w="60"/>
              <w:right w:type="dxa" w:w="110"/>
            </w:tcMar>
          </w:tcPr>
          <w:p>
            <w:r>
              <w:rPr>
                <w:sz w:val="19"/>
                <w:szCs w:val="19"/>
              </w:rPr>
              <w:t xml:space="preserve">(ainda fora do TR: falta token físico)</w:t>
            </w:r>
          </w:p>
        </w:tc>
      </w:tr>
      <w:tr>
        <w:trPr>
          <w:tblHeader w:val="off"/>
        </w:trPr>
        <w:tc>
          <w:tcPr>
            <w:tcW w:type="dxa" w:w="4819"/>
            <w:tcMar>
              <w:top w:type="dxa" w:w="60"/>
              <w:left w:type="dxa" w:w="110"/>
              <w:bottom w:type="dxa" w:w="60"/>
              <w:right w:type="dxa" w:w="110"/>
            </w:tcMar>
          </w:tcPr>
          <w:p>
            <w:r>
              <w:rPr>
                <w:sz w:val="19"/>
                <w:szCs w:val="19"/>
              </w:rPr>
              <w:t xml:space="preserve">Migration não criava </w:t>
            </w:r>
            <w:r>
              <w:rPr>
                <w:rFonts w:ascii="Consolas" w:cs="Consolas" w:eastAsia="Consolas" w:hAnsi="Consolas"/>
                <w:sz w:val="19"/>
                <w:szCs w:val="19"/>
              </w:rPr>
              <w:t xml:space="preserve">webhook_secret</w:t>
            </w:r>
            <w:r>
              <w:rPr>
                <w:sz w:val="19"/>
                <w:szCs w:val="19"/>
              </w:rPr>
              <w:t xml:space="preserve">: ente novo quebrava ao cadastrar sistema integrado</w:t>
            </w:r>
          </w:p>
        </w:tc>
        <w:tc>
          <w:tcPr>
            <w:tcW w:type="dxa" w:w="4819"/>
            <w:tcMar>
              <w:top w:type="dxa" w:w="60"/>
              <w:left w:type="dxa" w:w="110"/>
              <w:bottom w:type="dxa" w:w="60"/>
              <w:right w:type="dxa" w:w="110"/>
            </w:tcMar>
          </w:tcPr>
          <w:p>
            <w:r>
              <w:rPr>
                <w:sz w:val="19"/>
                <w:szCs w:val="19"/>
              </w:rPr>
              <w:t xml:space="preserve">—</w:t>
            </w:r>
          </w:p>
        </w:tc>
      </w:tr>
    </w:tbl>
    <w:p>
      <w:r>
        <w:t xml:space="preserve"/>
      </w:r>
    </w:p>
    <w:p>
      <w:pPr>
        <w:pStyle w:val="Heading1"/>
        <w:keepNext/>
        <w:spacing w:after="120" w:before="280"/>
      </w:pPr>
      <w:r>
        <w:t xml:space="preserve">🔴 Ainda pendente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shd w:fill="E8EDF2" w:color="auto" w:val="clear"/>
            <w:tcMar>
              <w:top w:type="dxa" w:w="60"/>
              <w:left w:type="dxa" w:w="110"/>
              <w:bottom w:type="dxa" w:w="60"/>
              <w:right w:type="dxa" w:w="110"/>
            </w:tcMar>
          </w:tcPr>
          <w:p>
            <w:r>
              <w:rPr>
                <w:b/>
                <w:bCs/>
                <w:sz w:val="19"/>
                <w:szCs w:val="19"/>
              </w:rPr>
              <w:t xml:space="preserve">#</w:t>
            </w:r>
          </w:p>
        </w:tc>
        <w:tc>
          <w:tcPr>
            <w:tcW w:type="dxa" w:w="3212"/>
            <w:shd w:fill="E8EDF2" w:color="auto" w:val="clear"/>
            <w:tcMar>
              <w:top w:type="dxa" w:w="60"/>
              <w:left w:type="dxa" w:w="110"/>
              <w:bottom w:type="dxa" w:w="60"/>
              <w:right w:type="dxa" w:w="110"/>
            </w:tcMar>
          </w:tcPr>
          <w:p>
            <w:r>
              <w:rPr>
                <w:b/>
                <w:bCs/>
                <w:sz w:val="19"/>
                <w:szCs w:val="19"/>
              </w:rPr>
              <w:t xml:space="preserve">Pendência</w:t>
            </w:r>
          </w:p>
        </w:tc>
        <w:tc>
          <w:tcPr>
            <w:tcW w:type="dxa" w:w="3214"/>
            <w:shd w:fill="E8EDF2" w:color="auto" w:val="clear"/>
            <w:tcMar>
              <w:top w:type="dxa" w:w="60"/>
              <w:left w:type="dxa" w:w="110"/>
              <w:bottom w:type="dxa" w:w="60"/>
              <w:right w:type="dxa" w:w="110"/>
            </w:tcMar>
          </w:tcPr>
          <w:p>
            <w:r>
              <w:rPr>
                <w:b/>
                <w:bCs/>
                <w:sz w:val="19"/>
                <w:szCs w:val="19"/>
              </w:rPr>
              <w:t xml:space="preserve">Por quê não entrou</w:t>
            </w:r>
          </w:p>
        </w:tc>
      </w:tr>
      <w:tr>
        <w:trPr>
          <w:tblHeader w:val="off"/>
        </w:trPr>
        <w:tc>
          <w:tcPr>
            <w:tcW w:type="dxa" w:w="3212"/>
            <w:tcMar>
              <w:top w:type="dxa" w:w="60"/>
              <w:left w:type="dxa" w:w="110"/>
              <w:bottom w:type="dxa" w:w="60"/>
              <w:right w:type="dxa" w:w="110"/>
            </w:tcMar>
          </w:tcPr>
          <w:p>
            <w:r>
              <w:rPr>
                <w:sz w:val="19"/>
                <w:szCs w:val="19"/>
              </w:rPr>
              <w:t xml:space="preserve">1</w:t>
            </w:r>
          </w:p>
        </w:tc>
        <w:tc>
          <w:tcPr>
            <w:tcW w:type="dxa" w:w="3212"/>
            <w:tcMar>
              <w:top w:type="dxa" w:w="60"/>
              <w:left w:type="dxa" w:w="110"/>
              <w:bottom w:type="dxa" w:w="60"/>
              <w:right w:type="dxa" w:w="110"/>
            </w:tcMar>
          </w:tcPr>
          <w:p>
            <w:r>
              <w:rPr>
                <w:b/>
                <w:bCs/>
                <w:sz w:val="19"/>
                <w:szCs w:val="19"/>
              </w:rPr>
              <w:t xml:space="preserve">Trocar as senhas</w:t>
            </w:r>
            <w:r>
              <w:rPr>
                <w:sz w:val="19"/>
                <w:szCs w:val="19"/>
              </w:rPr>
              <w:t xml:space="preserve"> do Postgres de produção e dos logins </w:t>
            </w:r>
            <w:r>
              <w:rPr>
                <w:rFonts w:ascii="Consolas" w:cs="Consolas" w:eastAsia="Consolas" w:hAnsi="Consolas"/>
                <w:sz w:val="19"/>
                <w:szCs w:val="19"/>
              </w:rPr>
              <w:t xml:space="preserve">admin123</w:t>
            </w:r>
            <w:r>
              <w:rPr>
                <w:sz w:val="19"/>
                <w:szCs w:val="19"/>
              </w:rPr>
              <w:t xml:space="preserve"> de paraguacu e arinos</w:t>
            </w:r>
          </w:p>
        </w:tc>
        <w:tc>
          <w:tcPr>
            <w:tcW w:type="dxa" w:w="3214"/>
            <w:tcMar>
              <w:top w:type="dxa" w:w="60"/>
              <w:left w:type="dxa" w:w="110"/>
              <w:bottom w:type="dxa" w:w="60"/>
              <w:right w:type="dxa" w:w="110"/>
            </w:tcMar>
          </w:tcPr>
          <w:p>
            <w:r>
              <w:rPr>
                <w:sz w:val="19"/>
                <w:szCs w:val="19"/>
              </w:rPr>
              <w:t xml:space="preserve">Operação nos servidores, fora do código</w:t>
            </w:r>
          </w:p>
        </w:tc>
      </w:tr>
      <w:tr>
        <w:trPr>
          <w:tblHeader w:val="off"/>
        </w:trPr>
        <w:tc>
          <w:tcPr>
            <w:tcW w:type="dxa" w:w="3212"/>
            <w:tcMar>
              <w:top w:type="dxa" w:w="60"/>
              <w:left w:type="dxa" w:w="110"/>
              <w:bottom w:type="dxa" w:w="60"/>
              <w:right w:type="dxa" w:w="110"/>
            </w:tcMar>
          </w:tcPr>
          <w:p>
            <w:r>
              <w:rPr>
                <w:sz w:val="19"/>
                <w:szCs w:val="19"/>
              </w:rPr>
              <w:t xml:space="preserve">2</w:t>
            </w:r>
          </w:p>
        </w:tc>
        <w:tc>
          <w:tcPr>
            <w:tcW w:type="dxa" w:w="3212"/>
            <w:tcMar>
              <w:top w:type="dxa" w:w="60"/>
              <w:left w:type="dxa" w:w="110"/>
              <w:bottom w:type="dxa" w:w="60"/>
              <w:right w:type="dxa" w:w="110"/>
            </w:tcMar>
          </w:tcPr>
          <w:p>
            <w:r>
              <w:rPr>
                <w:b/>
                <w:bCs/>
                <w:sz w:val="19"/>
                <w:szCs w:val="19"/>
              </w:rPr>
              <w:t xml:space="preserve">Limpar o histórico do Git</w:t>
            </w:r>
            <w:r>
              <w:rPr>
                <w:sz w:val="19"/>
                <w:szCs w:val="19"/>
              </w:rPr>
              <w:t xml:space="preserve"> (dumps e senhas continuam nos commits antigos)</w:t>
            </w:r>
          </w:p>
        </w:tc>
        <w:tc>
          <w:tcPr>
            <w:tcW w:type="dxa" w:w="3214"/>
            <w:tcMar>
              <w:top w:type="dxa" w:w="60"/>
              <w:left w:type="dxa" w:w="110"/>
              <w:bottom w:type="dxa" w:w="60"/>
              <w:right w:type="dxa" w:w="110"/>
            </w:tcMar>
          </w:tcPr>
          <w:p>
            <w:r>
              <w:rPr>
                <w:sz w:val="19"/>
                <w:szCs w:val="19"/>
              </w:rPr>
              <w:t xml:space="preserve">Reescreve o histórico e exige push forçado: decisão da equipe</w:t>
            </w:r>
          </w:p>
        </w:tc>
      </w:tr>
      <w:tr>
        <w:trPr>
          <w:tblHeader w:val="off"/>
        </w:trPr>
        <w:tc>
          <w:tcPr>
            <w:tcW w:type="dxa" w:w="3212"/>
            <w:tcMar>
              <w:top w:type="dxa" w:w="60"/>
              <w:left w:type="dxa" w:w="110"/>
              <w:bottom w:type="dxa" w:w="60"/>
              <w:right w:type="dxa" w:w="110"/>
            </w:tcMar>
          </w:tcPr>
          <w:p>
            <w:r>
              <w:rPr>
                <w:sz w:val="19"/>
                <w:szCs w:val="19"/>
              </w:rPr>
              <w:t xml:space="preserve">3</w:t>
            </w:r>
          </w:p>
        </w:tc>
        <w:tc>
          <w:tcPr>
            <w:tcW w:type="dxa" w:w="3212"/>
            <w:tcMar>
              <w:top w:type="dxa" w:w="60"/>
              <w:left w:type="dxa" w:w="110"/>
              <w:bottom w:type="dxa" w:w="60"/>
              <w:right w:type="dxa" w:w="110"/>
            </w:tcMar>
          </w:tcPr>
          <w:p>
            <w:r>
              <w:rPr>
                <w:b/>
                <w:bCs/>
                <w:sz w:val="19"/>
                <w:szCs w:val="19"/>
              </w:rPr>
              <w:t xml:space="preserve">Validação de cadeia ICP-Brasil ancorada na AC Raiz</w:t>
            </w:r>
            <w:r>
              <w:rPr>
                <w:sz w:val="19"/>
                <w:szCs w:val="19"/>
              </w:rPr>
              <w:t xml:space="preserve">, com LCR/OCSP</w:t>
            </w:r>
          </w:p>
        </w:tc>
        <w:tc>
          <w:tcPr>
            <w:tcW w:type="dxa" w:w="3214"/>
            <w:tcMar>
              <w:top w:type="dxa" w:w="60"/>
              <w:left w:type="dxa" w:w="110"/>
              <w:bottom w:type="dxa" w:w="60"/>
              <w:right w:type="dxa" w:w="110"/>
            </w:tcMar>
          </w:tcPr>
          <w:p>
            <w:r>
              <w:rPr>
                <w:sz w:val="19"/>
                <w:szCs w:val="19"/>
              </w:rPr>
              <w:t xml:space="preserve">Endurecer pode recusar certificados hoje aceitos até as demais raízes serem instaladas</w:t>
            </w:r>
          </w:p>
        </w:tc>
      </w:tr>
      <w:tr>
        <w:trPr>
          <w:tblHeader w:val="off"/>
        </w:trPr>
        <w:tc>
          <w:tcPr>
            <w:tcW w:type="dxa" w:w="3212"/>
            <w:tcMar>
              <w:top w:type="dxa" w:w="60"/>
              <w:left w:type="dxa" w:w="110"/>
              <w:bottom w:type="dxa" w:w="60"/>
              <w:right w:type="dxa" w:w="110"/>
            </w:tcMar>
          </w:tcPr>
          <w:p>
            <w:r>
              <w:rPr>
                <w:sz w:val="19"/>
                <w:szCs w:val="19"/>
              </w:rPr>
              <w:t xml:space="preserve">4</w:t>
            </w:r>
          </w:p>
        </w:tc>
        <w:tc>
          <w:tcPr>
            <w:tcW w:type="dxa" w:w="3212"/>
            <w:tcMar>
              <w:top w:type="dxa" w:w="60"/>
              <w:left w:type="dxa" w:w="110"/>
              <w:bottom w:type="dxa" w:w="60"/>
              <w:right w:type="dxa" w:w="110"/>
            </w:tcMar>
          </w:tcPr>
          <w:p>
            <w:r>
              <w:rPr>
                <w:b/>
                <w:bCs/>
                <w:sz w:val="19"/>
                <w:szCs w:val="19"/>
              </w:rPr>
              <w:t xml:space="preserve">Assinatura A3 com token físico</w:t>
            </w:r>
          </w:p>
        </w:tc>
        <w:tc>
          <w:tcPr>
            <w:tcW w:type="dxa" w:w="3214"/>
            <w:tcMar>
              <w:top w:type="dxa" w:w="60"/>
              <w:left w:type="dxa" w:w="110"/>
              <w:bottom w:type="dxa" w:w="60"/>
              <w:right w:type="dxa" w:w="110"/>
            </w:tcMar>
          </w:tcPr>
          <w:p>
            <w:r>
              <w:rPr>
                <w:sz w:val="19"/>
                <w:szCs w:val="19"/>
              </w:rPr>
              <w:t xml:space="preserve">O servidor já confere a assinatura, mas falta o teste com hardware e a licença da extensão Web PKI em produção</w:t>
            </w:r>
          </w:p>
        </w:tc>
      </w:tr>
    </w:tbl>
    <w:p>
      <w:r>
        <w:t xml:space="preserve"/>
      </w:r>
    </w:p>
    <w:p>
      <w:pPr>
        <w:pStyle w:val="Heading1"/>
        <w:keepNext/>
        <w:spacing w:after="120" w:before="280"/>
      </w:pPr>
      <w:r>
        <w:t xml:space="preserve">O que ficou de fora por não existir</w:t>
      </w:r>
    </w:p>
    <w:p>
      <w:pPr>
        <w:spacing w:after="120" w:line="276"/>
        <w:jc w:val="both"/>
      </w:pPr>
      <w:r>
        <w:t xml:space="preserve">Itens que editais de GED, assinatura e processo costumam pedir e que </w:t>
      </w:r>
      <w:r>
        <w:rPr>
          <w:b/>
          <w:bCs/>
        </w:rPr>
        <w:t xml:space="preserve">não existem</w:t>
      </w:r>
      <w:r>
        <w:t xml:space="preserve"> (detalhe e local da busca em </w:t>
      </w:r>
      <w:r>
        <w:rPr>
          <w:rFonts w:ascii="Consolas" w:cs="Consolas" w:eastAsia="Consolas" w:hAnsi="Consolas"/>
          <w:sz w:val="19"/>
          <w:szCs w:val="19"/>
        </w:rPr>
        <w:t xml:space="preserve">medicao/</w:t>
      </w:r>
      <w:r>
        <w:t xml:space="preserve">):</w:t>
      </w:r>
    </w:p>
    <w:p>
      <w:pPr>
        <w:spacing w:after="80"/>
        <w:ind w:left="360" w:hanging="280"/>
      </w:pPr>
      <w:r>
        <w:t xml:space="preserve">•  </w:t>
      </w:r>
      <w:r>
        <w:rPr>
          <w:b/>
          <w:bCs/>
        </w:rPr>
        <w:t xml:space="preserve">GED:</w:t>
      </w:r>
      <w:r>
        <w:t xml:space="preserve"> OCR; plano de classificação e tabela de temporalidade (CONARQ); eliminação com termo; metadados do Decreto nº 10.278/2020; PDF/A; verificação periódica de integridade; captura de e-mail; importação de acervo legado; compartilhamento e link público com expiração; check-in/check-out; etiquetas (só estrutura); edição dos dados do documento pela tela; relatórios gerenciais.</w:t>
      </w:r>
    </w:p>
    <w:p>
      <w:pPr>
        <w:spacing w:after="80"/>
        <w:ind w:left="360" w:hanging="280"/>
      </w:pPr>
      <w:r>
        <w:t xml:space="preserve">•  </w:t>
      </w:r>
      <w:r>
        <w:rPr>
          <w:b/>
          <w:bCs/>
        </w:rPr>
        <w:t xml:space="preserve">Assinatura:</w:t>
      </w:r>
      <w:r>
        <w:t xml:space="preserve"> PAdES AD-RB conforme DOC-ICP-15.03; carimbo do tempo; PAdES-LT/LTA; LCR/OCSP; CAdES para não-PDF; assinatura avançada; gov.br; nuvem/HSM; assinador local; e-CNPJ; multi-assinatura criptográfica no mesmo PDF; assinatura em lote pelo signatário; signatário externo sem cadastro; lembretes e e-mail.</w:t>
      </w:r>
    </w:p>
    <w:p>
      <w:pPr>
        <w:spacing w:after="80"/>
        <w:ind w:left="360" w:hanging="280"/>
      </w:pPr>
      <w:r>
        <w:t xml:space="preserve">•  </w:t>
      </w:r>
      <w:r>
        <w:rPr>
          <w:b/>
          <w:bCs/>
        </w:rPr>
        <w:t xml:space="preserve">Processo:</w:t>
      </w:r>
      <w:r>
        <w:t xml:space="preserve"> BPMN e motor de fluxo genérico (o desenhador grava </w:t>
      </w:r>
      <w:r>
        <w:rPr>
          <w:rFonts w:ascii="Consolas" w:cs="Consolas" w:eastAsia="Consolas" w:hAnsi="Consolas"/>
          <w:sz w:val="19"/>
          <w:szCs w:val="19"/>
        </w:rPr>
        <w:t xml:space="preserve">nodes</w:t>
      </w:r>
      <w:r>
        <w:t xml:space="preserve"> e o motor lê </w:t>
      </w:r>
      <w:r>
        <w:rPr>
          <w:rFonts w:ascii="Consolas" w:cs="Consolas" w:eastAsia="Consolas" w:hAnsi="Consolas"/>
          <w:sz w:val="19"/>
          <w:szCs w:val="19"/>
        </w:rPr>
        <w:t xml:space="preserve">etapas</w:t>
      </w:r>
      <w:r>
        <w:t xml:space="preserve">); gateways; etapas paralelas; dias úteis e feriados; alertas e escalonamento de prazo; ciência/intimação; sobrestamento; apensação; desarquivamento; autos com volumes e PDF consolidado; tramitação em lote; relatórios.</w:t>
      </w:r>
    </w:p>
    <w:p>
      <w:pPr>
        <w:spacing w:after="80"/>
        <w:ind w:left="360" w:hanging="280"/>
      </w:pPr>
      <w:r>
        <w:t xml:space="preserve">•  </w:t>
      </w:r>
      <w:r>
        <w:rPr>
          <w:b/>
          <w:bCs/>
        </w:rPr>
        <w:t xml:space="preserve">Portal:</w:t>
      </w:r>
      <w:r>
        <w:t xml:space="preserve"> gov.br; anexos na solicitação; consulta pública por protocolo; resposta do cidadão; avaliação de satisfação; ouvidoria; transparência; CAPTCHA; LGPD/consentimento; acessibilidade.</w:t>
      </w:r>
    </w:p>
    <w:p>
      <w:pPr>
        <w:spacing w:after="80"/>
        <w:ind w:left="360" w:hanging="280"/>
      </w:pPr>
      <w:r>
        <w:t xml:space="preserve">•  </w:t>
      </w:r>
      <w:r>
        <w:rPr>
          <w:b/>
          <w:bCs/>
        </w:rPr>
        <w:t xml:space="preserve">Segurança e continuidade:</w:t>
      </w:r>
      <w:r>
        <w:t xml:space="preserve"> 2FA; LDAP/SSO; política de senha além do tamanho mínimo; inativação de usuário; restrição por horário/IP; auditoria administrativa e de login; consulta centralizada de auditoria; log imutável; backup automatizado; exportação integral da base; dicionário de dados; ajuda contextual.</w:t>
      </w:r>
    </w:p>
    <w:p>
      <w:pPr>
        <w:pStyle w:val="Heading1"/>
        <w:keepNext/>
        <w:spacing w:after="120" w:before="280"/>
      </w:pPr>
      <w:r>
        <w:t xml:space="preserve">Cuidado de licitação</w:t>
      </w:r>
    </w:p>
    <w:p>
      <w:pPr>
        <w:spacing w:after="120" w:line="276"/>
        <w:jc w:val="both"/>
      </w:pPr>
      <w:r>
        <w:t xml:space="preserve">Minuta escrita por fornecedor e publicada sem adaptação é </w:t>
      </w:r>
      <w:r>
        <w:rPr>
          <w:b/>
          <w:bCs/>
        </w:rPr>
        <w:t xml:space="preserve">direcionamento</w:t>
      </w:r>
      <w:r>
        <w:t xml:space="preserve">, e a Lei nº 14.133/2021 veda a especificação que restrinja a competição sem justificativa técnica. Por isso o texto:</w:t>
      </w:r>
    </w:p>
    <w:p>
      <w:pPr>
        <w:spacing w:after="80"/>
        <w:ind w:left="360" w:hanging="280"/>
      </w:pPr>
      <w:r>
        <w:t xml:space="preserve">•  </w:t>
      </w:r>
      <w:r>
        <w:t xml:space="preserve">descreve </w:t>
      </w:r>
      <w:r>
        <w:rPr>
          <w:b/>
          <w:bCs/>
        </w:rPr>
        <w:t xml:space="preserve">função</w:t>
      </w:r>
      <w:r>
        <w:t xml:space="preserve">, não produto, e diz isso no item 6.0.1;</w:t>
      </w:r>
    </w:p>
    <w:p>
      <w:pPr>
        <w:spacing w:after="80"/>
        <w:ind w:left="360" w:hanging="280"/>
      </w:pPr>
      <w:r>
        <w:t xml:space="preserve">•  </w:t>
      </w:r>
      <w:r>
        <w:t xml:space="preserve">não cita nome de tela, de módulo nem de tecnologia nossa;</w:t>
      </w:r>
    </w:p>
    <w:p>
      <w:pPr>
        <w:spacing w:after="80"/>
        <w:ind w:left="360" w:hanging="280"/>
      </w:pPr>
      <w:r>
        <w:t xml:space="preserve">•  </w:t>
      </w:r>
      <w:r>
        <w:t xml:space="preserve">limita a qualificação técnica ao que a lei admite (item 10.3) e dispensa visita técnica como condição de habilitação (item 10.4);</w:t>
      </w:r>
    </w:p>
    <w:p>
      <w:pPr>
        <w:spacing w:after="80"/>
        <w:ind w:left="360" w:hanging="280"/>
      </w:pPr>
      <w:r>
        <w:t xml:space="preserve">•  </w:t>
      </w:r>
      <w:r>
        <w:t xml:space="preserve">prevê prova de conceito com roteiro publicado e ata item a item (item 9).</w:t>
      </w:r>
    </w:p>
    <w:p>
      <w:pPr>
        <w:spacing w:after="120" w:line="276"/>
        <w:jc w:val="both"/>
      </w:pPr>
      <w:r>
        <w:t xml:space="preserve">As obrigações de </w:t>
      </w:r>
      <w:r>
        <w:rPr>
          <w:b/>
          <w:bCs/>
        </w:rPr>
        <w:t xml:space="preserve">cópia de segurança</w:t>
      </w:r>
      <w:r>
        <w:t xml:space="preserve"> (11.1.3) e de </w:t>
      </w:r>
      <w:r>
        <w:rPr>
          <w:b/>
          <w:bCs/>
        </w:rPr>
        <w:t xml:space="preserve">entrega integral da base</w:t>
      </w:r>
      <w:r>
        <w:t xml:space="preserve"> (11.3.1) estão como serviço da contratada, não como função do sistema: não há rotina automática nem exportação na aplicação, e cumpri-las depende de procedimento de operação. O </w:t>
      </w:r>
      <w:r>
        <w:rPr>
          <w:b/>
          <w:bCs/>
        </w:rPr>
        <w:t xml:space="preserve">manual do usuário</w:t>
      </w:r>
      <w:r>
        <w:t xml:space="preserve"> (7.3.2) também não existe e precisa ser produzido.</w:t>
      </w:r>
    </w:p>
    <w:p>
      <w:pPr>
        <w:spacing w:after="120" w:line="276"/>
        <w:jc w:val="both"/>
      </w:pPr>
      <w:r>
        <w:t xml:space="preserve">O município tem de adaptar antes de publicar — quantitativos, prazos, dotação e os módulos que ele efetivamente quer. O que está aqui é minuta, não edital pronto.</w:t>
      </w:r>
    </w:p>
    <w:p>
      <w:pPr>
        <w:pStyle w:val="Heading1"/>
        <w:keepNext/>
        <w:spacing w:after="120" w:before="280"/>
      </w:pPr>
      <w:r>
        <w:t xml:space="preserve">Como usar para responder edital de terceiro</w:t>
      </w:r>
    </w:p>
    <w:p>
      <w:pPr>
        <w:spacing w:after="120" w:line="276"/>
        <w:jc w:val="both"/>
      </w:pPr>
      <w:r>
        <w:t xml:space="preserve">A planilha </w:t>
      </w:r>
      <w:r>
        <w:rPr>
          <w:rFonts w:ascii="Consolas" w:cs="Consolas" w:eastAsia="Consolas" w:hAnsi="Consolas"/>
          <w:sz w:val="19"/>
          <w:szCs w:val="19"/>
        </w:rPr>
        <w:t xml:space="preserve">requisitos-gpedocs.csv</w:t>
      </w:r>
      <w:r>
        <w:t xml:space="preserve"> é o acervo. Para cada item do edital alheio, localizar o requisito nosso equivalente e responder com ele. Quando não houver equivalente, consultar a lista acima e </w:t>
      </w:r>
      <w:r>
        <w:rPr>
          <w:rFonts w:ascii="Consolas" w:cs="Consolas" w:eastAsia="Consolas" w:hAnsi="Consolas"/>
          <w:sz w:val="19"/>
          <w:szCs w:val="19"/>
        </w:rPr>
        <w:t xml:space="preserve">medicao/</w:t>
      </w:r>
      <w:r>
        <w:t xml:space="preserve">: se o item não existe, a resposta é </w:t>
      </w:r>
      <w:r>
        <w:rPr>
          <w:b/>
          <w:bCs/>
        </w:rPr>
        <w:t xml:space="preserve">não atende</w:t>
      </w:r>
      <w:r>
        <w:t xml:space="preserve">, ou atende parcialmente dizendo qual parte. O item 13.2 deste TR existe justamente porque declarar atendimento que a prova de conceito derruba é o erro que desclassifica.</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TR GPEDocs — instruções  ·  </w:t>
    </w:r>
    <w:r>
      <w:rPr>
        <w:color w:val="666666"/>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pPr>
      <w:spacing w:after="240"/>
    </w:pPr>
    <w:rPr>
      <w:rFonts w:ascii="Calibri" w:cs="Calibri" w:eastAsia="Calibri" w:hAnsi="Calibri"/>
      <w:b/>
      <w:bCs/>
      <w:color w:val="1F3864"/>
      <w:sz w:val="36"/>
      <w:szCs w:val="36"/>
    </w:rPr>
  </w:style>
  <w:style w:type="paragraph" w:styleId="Heading1">
    <w:name w:val="Heading 1"/>
    <w:basedOn w:val="Normal"/>
    <w:next w:val="Normal"/>
    <w:qFormat/>
    <w:rPr>
      <w:rFonts w:ascii="Calibri" w:cs="Calibri" w:eastAsia="Calibri" w:hAnsi="Calibri"/>
      <w:b/>
      <w:bCs/>
      <w:color w:val="1F3864"/>
      <w:sz w:val="28"/>
      <w:szCs w:val="28"/>
    </w:rPr>
  </w:style>
  <w:style w:type="paragraph" w:styleId="Heading2">
    <w:name w:val="Heading 2"/>
    <w:basedOn w:val="Normal"/>
    <w:next w:val="Normal"/>
    <w:qFormat/>
    <w:rPr>
      <w:rFonts w:ascii="Calibri" w:cs="Calibri" w:eastAsia="Calibri" w:hAnsi="Calibri"/>
      <w:b/>
      <w:bCs/>
      <w:color w:val="2E5496"/>
      <w:sz w:val="24"/>
      <w:szCs w:val="24"/>
    </w:rPr>
  </w:style>
  <w:style w:type="paragraph" w:styleId="Heading3">
    <w:name w:val="Heading 3"/>
    <w:basedOn w:val="Normal"/>
    <w:next w:val="Normal"/>
    <w:qFormat/>
    <w:rPr>
      <w:rFonts w:ascii="Calibri" w:cs="Calibri" w:eastAsia="Calibri" w:hAnsi="Calibri"/>
      <w:b/>
      <w:bCs/>
      <w:color w:val="2E5496"/>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2026-10-06T18:52:05.549Z</dcterms:created>
  <dcterms:modified xsi:type="dcterms:W3CDTF">2026-10-06T18:52:05.551Z</dcterms:modified>
</cp:coreProperties>
</file>

<file path=docProps/custom.xml><?xml version="1.0" encoding="utf-8"?>
<Properties xmlns="http://schemas.openxmlformats.org/officeDocument/2006/custom-properties" xmlns:vt="http://schemas.openxmlformats.org/officeDocument/2006/docPropsVTypes"/>
</file>