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510(k) PREMARKET NOTIFICATION</w:t>
      </w:r>
    </w:p>
    <w:p>
      <w:pPr>
        <w:pStyle w:val="Heading1"/>
        <w:spacing w:before="400" w:after="200"/>
        <w:jc w:val="center"/>
      </w:pPr>
      <w:r>
        <w:t xml:space="preserve">CardioFlow Vascular Stent System</w:t>
      </w:r>
    </w:p>
    <w:p>
      <w:pPr>
        <w:spacing w:before="200" w:after="400"/>
        <w:jc w:val="center"/>
      </w:pPr>
      <w:r>
        <w:t xml:space="preserve">CardioMed Technologies, Inc.</w:t>
      </w:r>
    </w:p>
    <w:p>
      <w:pPr>
        <w:jc w:val="center"/>
      </w:pPr>
      <w:r>
        <w:t xml:space="preserve">Submission Date: 10/29/2025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510(k) premarket notification demonstrates substantial equivalence of the CardioFlow Vascular Stent System to the legally marketed predicate device.</w:t>
      </w:r>
    </w:p>
    <w:p>
      <w:pPr>
        <w:pStyle w:val="Heading2"/>
      </w:pPr>
      <w:r>
        <w:t xml:space="preserve">Device Information:</w:t>
      </w:r>
    </w:p>
    <w:p>
      <w:r>
        <w:t xml:space="preserve">Device Name: CardioFlow Vascular Stent System</w:t>
      </w:r>
    </w:p>
    <w:p>
      <w:r>
        <w:t xml:space="preserve">Manufacturer: CardioMed Technologies, Inc.</w:t>
      </w:r>
    </w:p>
    <w:p>
      <w:r>
        <w:t xml:space="preserve">Classification: Class II</w:t>
      </w:r>
    </w:p>
    <w:p>
      <w:r>
        <w:t xml:space="preserve">Product Code: NIQ</w:t>
      </w:r>
    </w:p>
    <w:p>
      <w:r>
        <w:t xml:space="preserve">Predicate Device: XIENCE Sierra (K181351)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2025-10-29T22:45:29.604Z</dcterms:created>
  <dcterms:modified xsi:type="dcterms:W3CDTF">2025-10-29T22:45:29.604Z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