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DEFENSE REPORT</w:t>
      </w:r>
    </w:p>
    <w:p>
      <w:pPr>
        <w:pStyle w:val="Heading1"/>
        <w:spacing w:before="400" w:after="400"/>
        <w:jc w:val="center"/>
      </w:pPr>
      <w:r>
        <w:t xml:space="preserve">Artificial Intelligence Usage in Regulatory Submissions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This report documents comprehensive AI usage in regulatory submission generation with full validation and human oversight.</w:t>
      </w:r>
    </w:p>
    <w:p>
      <w:pPr>
        <w:pStyle w:val="Heading2"/>
      </w:pPr>
      <w:r>
        <w:t xml:space="preserve">Key Metrics:</w:t>
      </w:r>
    </w:p>
    <w:p>
      <w:r>
        <w:t xml:space="preserve">• Overall Accuracy: 98.2%</w:t>
      </w:r>
    </w:p>
    <w:p>
      <w:r>
        <w:t xml:space="preserve">• Regulatory Compliance: 99.2%</w:t>
      </w:r>
    </w:p>
    <w:p>
      <w:r>
        <w:t xml:space="preserve">• Human Review Points: 6 critical checkpoints</w:t>
      </w:r>
    </w:p>
    <w:p>
      <w:r>
        <w:t xml:space="preserve">• Validation Steps: 15 automated, 8 manual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2025-10-29T22:44:17.750Z</dcterms:created>
  <dcterms:modified xsi:type="dcterms:W3CDTF">2025-10-29T22:44:17.750Z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