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CLINICAL EVALUATION REPORT</w:t>
      </w:r>
    </w:p>
    <w:p>
      <w:pPr>
        <w:pStyle w:val="Heading1"/>
        <w:spacing w:before="200" w:after="400"/>
        <w:jc w:val="center"/>
      </w:pPr>
      <w:r>
        <w:t xml:space="preserve">According to MDR 2017/745</w:t>
      </w:r>
    </w:p>
    <w:p>
      <w:pPr>
        <w:pStyle w:val="Heading1"/>
        <w:jc w:val="center"/>
      </w:pPr>
      <w:r>
        <w:t xml:space="preserve">CardioFlow Vascular Stent System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Clinical Evaluation Report demonstrates compliance with MDR 2017/745 requirements.</w:t>
      </w:r>
    </w:p>
    <w:p>
      <w:pPr>
        <w:pStyle w:val="Heading2"/>
      </w:pPr>
      <w:r>
        <w:t xml:space="preserve">Clinical Evidence Summary</w:t>
      </w:r>
    </w:p>
    <w:p>
      <w:r>
        <w:t xml:space="preserve">The clinical evaluation is based on:</w:t>
      </w:r>
    </w:p>
    <w:p>
      <w:r>
        <w:t xml:space="preserve">• Systematic literature review of 42 relevant publications</w:t>
      </w:r>
    </w:p>
    <w:p>
      <w:r>
        <w:t xml:space="preserve">• Analysis of 8 pivotal clinical trials</w:t>
      </w:r>
    </w:p>
    <w:p>
      <w:r>
        <w:t xml:space="preserve">• Real-world evidence from 15,000+ patients</w:t>
      </w:r>
    </w:p>
    <w:p>
      <w:r>
        <w:t xml:space="preserve">• Post-market surveillance 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2025-10-29T22:44:17.704Z</dcterms:created>
  <dcterms:modified xsi:type="dcterms:W3CDTF">2025-10-29T22:44:17.704Z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