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PREMARKET APPROVAL APPLICATION (PMA)</w:t>
      </w:r>
    </w:p>
    <w:p>
      <w:pPr>
        <w:pStyle w:val="Heading1"/>
        <w:spacing w:before="400" w:after="200"/>
        <w:jc w:val="center"/>
      </w:pPr>
      <w:r>
        <w:t xml:space="preserve">NeuroStim Deep Brain Stimulation System</w:t>
      </w:r>
    </w:p>
    <w:p>
      <w:pPr>
        <w:pStyle w:val="Heading1"/>
        <w:pageBreakBefore/>
      </w:pPr>
      <w:r>
        <w:t xml:space="preserve">MODULE 5: CLINICAL STUDIES</w:t>
      </w:r>
    </w:p>
    <w:p>
      <w:pPr>
        <w:pStyle w:val="Heading2"/>
        <w:spacing w:before="240" w:after="120"/>
      </w:pPr>
      <w:r>
        <w:t xml:space="preserve">Pivotal Clinical Trial Results</w:t>
      </w:r>
    </w:p>
    <w:p>
      <w:r>
        <w:t xml:space="preserve">Study Design: Multicenter, prospective, double-blind, randomized controlled trial</w:t>
      </w:r>
    </w:p>
    <w:p>
      <w:r>
        <w:t xml:space="preserve">Enrollment: 298 subjects</w:t>
      </w:r>
    </w:p>
    <w:p>
      <w:r>
        <w:t xml:space="preserve">Primary Endpoint: Change in UPDRS Part III motor score at 12 months</w:t>
      </w:r>
    </w:p>
    <w:p>
      <w:r>
        <w:t xml:space="preserve">Treatment Group Improvement: 52% (p&lt;0.001)</w:t>
      </w:r>
    </w:p>
    <w:p>
      <w:r>
        <w:t xml:space="preserve">Quality of Life Improvement: 38% improvement in PDQ-39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2025-10-29T22:45:29.675Z</dcterms:created>
  <dcterms:modified xsi:type="dcterms:W3CDTF">2025-10-29T22:45:29.675Z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