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709"/>
        </w:tabs>
        <w:spacing w:after="120" w:before="120" w:line="36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ÔN TẬP CUỐI KỲ ASEAN</w:t>
      </w:r>
    </w:p>
    <w:p w:rsidR="00000000" w:rsidDel="00000000" w:rsidP="00000000" w:rsidRDefault="00000000" w:rsidRPr="00000000" w14:paraId="00000003">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4">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1: Trình bày những nét nổi bật trên lĩnh vực chính trị - ngoại giao ở Myanmar từ khi trở thành quốc gia độc lập cho đến nay? Việc từ chối thừa nhận kết quả của cuộc bầu cử năm 1990 đã ảnh hưởng đến nền kinh tế và các mối quan hệ ngoại giao của Myanmar như thế nào?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120" w:before="120" w:line="360" w:lineRule="auto"/>
        <w:ind w:left="927" w:right="0" w:firstLine="0"/>
        <w:jc w:val="both"/>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Những nét nổi bật trên lĩnh vực chính trị ngoại giao</w:t>
      </w:r>
    </w:p>
    <w:p w:rsidR="00000000" w:rsidDel="00000000" w:rsidP="00000000" w:rsidRDefault="00000000" w:rsidRPr="00000000" w14:paraId="00000006">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Chính trị đối ngoại của Myanmar cũng đã có những thay đổi đáng kể theo hướng đa phương hóa, đa dạng hóa; phá thế bị bao vây, cấm vận của Mỹ và phương Tây; thu hút nguồn vốn đầu tư, sự hỗ trợ và viện trợ từ bên ngoài nhằm phát triển kinh tế đất nước, giảm sự phụ thuộc quá lớn của Myanmar vào Trung Quốc, nâng cao vị thế, vai trò của Myanmar trên trường quốc tế.</w:t>
      </w:r>
    </w:p>
    <w:p w:rsidR="00000000" w:rsidDel="00000000" w:rsidP="00000000" w:rsidRDefault="00000000" w:rsidRPr="00000000" w14:paraId="00000007">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Quan hệ nước ngoài của Myanmar, đặc biệt với các nước phương Tây, đã rơi vào tình trạng căng thẳng. Từ khi Myanmar được kết nạp vào ASEAN (tháng 7 năm 1997), quan hệ Myanmar với các nước ASEAN ngày càng được tăng cường và cải thiện. Myanmar tích cực tham gia các hoạt động của ASEAN, kiên trì bảo vệ nguyên tắc không can thiệp vào công việc nội bộ và đồng thuận của ASEAN để bảo vệ lợi ích của mình.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9"/>
        </w:tabs>
        <w:spacing w:after="120" w:before="120" w:line="360" w:lineRule="auto"/>
        <w:ind w:left="927" w:right="0" w:firstLine="0"/>
        <w:jc w:val="both"/>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Việc từ chối thừa nhận kết quả của cuộc bầu cử 1990 đã ảnh hưởng đến nền kinh tế và các mối quan hệ như thế nào</w:t>
      </w:r>
    </w:p>
    <w:p w:rsidR="00000000" w:rsidDel="00000000" w:rsidP="00000000" w:rsidRDefault="00000000" w:rsidRPr="00000000" w14:paraId="00000009">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Vì sự từ chối thừa nhận các kết quả cuộc bầu cử Quốc hội Nhân dân năm 1990 của chế độ quân sự. Tương tự, Liên minh châu Âu đã áp đặt lệnh cấm vận lên Myanmar, gồm cả cấm vận vũ khí, ngừng ưu tiên thương mại và hoãn toàn bộ viện trợ ngoại trừ viện trợ nhân đạo. Những biện pháp cấm vận của Hoa Kỳ và Liên minh châu Âu chống lại chính phủ quân sự, cộng với sự tẩy chay và những sức ép trực tiếp khác từ người dân ở các nước phương Tây ủng hộ phong trào dân chủ Myanmar, khiến đa số các công ty Hoa Kỳ và châu Âu phải rời khỏi nước này.</w:t>
      </w:r>
    </w:p>
    <w:p w:rsidR="00000000" w:rsidDel="00000000" w:rsidP="00000000" w:rsidRDefault="00000000" w:rsidRPr="00000000" w14:paraId="0000000A">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B">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2: Nêu những cơ hội đối với doanh nghiệp Việt Nam trước những cam kết của Cộng đồng kinh tế ASEAN (AEC) là gì?</w:t>
      </w:r>
    </w:p>
    <w:p w:rsidR="00000000" w:rsidDel="00000000" w:rsidP="00000000" w:rsidRDefault="00000000" w:rsidRPr="00000000" w14:paraId="0000000C">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Khi các mục tiêu của AEC được hoàn tất, AEC sẽ mang lại những cơ hội lớn cho nền kinh tế và các doanh nghiệp Việt Nam, đặc biệt là:</w:t>
      </w:r>
    </w:p>
    <w:p w:rsidR="00000000" w:rsidDel="00000000" w:rsidP="00000000" w:rsidRDefault="00000000" w:rsidRPr="00000000" w14:paraId="0000000D">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AEC mở ra một khu vực thị trường chung rộng lớn: với gần 100% hàng hóa được tự do lưu chuyển trong nội khối, AEC tạo ra một khu vực thị trường hàng hóa chung giữa các nước ASEAN, mở ra cơ hội làm ăn kinh doanh lớn cho các doanh nghiệp trong khu vực;</w:t>
      </w:r>
    </w:p>
    <w:p w:rsidR="00000000" w:rsidDel="00000000" w:rsidP="00000000" w:rsidRDefault="00000000" w:rsidRPr="00000000" w14:paraId="0000000E">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AEC mở ra cơ hội thu hút đầu tư nước ngoài vào Việt Nam: môi trường kinh doanh được mở rộng theo hướng minh bạch và bình đẳng hơn sẽ là điều kiện để thu hút đầu tư nước ngoài không những từ các nước ASEAN mà cả từ các nước ngoại khối, đặc biệt là các nước đối tác FTA của ASEAN vào Việt Nam để tham gia và chuỗi giá trị khu vực;</w:t>
      </w:r>
    </w:p>
    <w:p w:rsidR="00000000" w:rsidDel="00000000" w:rsidP="00000000" w:rsidRDefault="00000000" w:rsidRPr="00000000" w14:paraId="0000000F">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AEC tạo ra sức ép, nâng cao năng lực cạnh tranh của các doanh nghiệp Việt Nam: tham gia vào một sân chơi chung và chịu áp lực cạnh tranh từ các đối tác khu vực cả về trình độ quản lý, công nghệ và nhân lực sẽ buộc các doanh nghiệp Việt Nam phải tự cải tổ, thay đổi, nâng cao năng lực cạnh tranh để có thể tồn tại và phát triển.</w:t>
      </w:r>
    </w:p>
    <w:p w:rsidR="00000000" w:rsidDel="00000000" w:rsidP="00000000" w:rsidRDefault="00000000" w:rsidRPr="00000000" w14:paraId="00000010">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AEC tạo ra khí thế và động lực cho doanh nghiệp: Với tinh thần chuẩn bị cho việc hình thành AEC vào cuối năm 2015 và những trông đợi về một khu vực thị trường chung năng động với nhiều cơ hội mở ra, các doanh nghiệp Việt Nam dường như đã được thức tỉnh để chuẩn bị tư thế và hành tranh cho tiến trình hội nhập mạnh mẽ sắp tới.</w:t>
      </w:r>
    </w:p>
    <w:p w:rsidR="00000000" w:rsidDel="00000000" w:rsidP="00000000" w:rsidRDefault="00000000" w:rsidRPr="00000000" w14:paraId="00000011">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2">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3 : Nêu nguyên nhân giúp kinh tế Indonesia vượt qua được cuộc khủng hoảng tài chính thế giới năm 2008 ?</w:t>
      </w:r>
    </w:p>
    <w:p w:rsidR="00000000" w:rsidDel="00000000" w:rsidP="00000000" w:rsidRDefault="00000000" w:rsidRPr="00000000" w14:paraId="00000013">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Nền kinh tế Indonesia đã tăng trưởng tốt trong suốt giai đoạn suy thoái của kinh tế thế giới, phần lớn là nhờ quốc gia này không phụ thuộc nhiều vào hàng hóa xuất khẩu sang châu Âu và các thị trường phát triển khác như các nước láng giềng. Thị trường tiêu dùng khổng lồ của nó từ 240 triệu người cũng giúp đất nước này tránh được cuộc khủng hoảng tài chính toàn cầu năm 2008. Sự tăng trưởng vượt bậc vào năm ngoái cũng đã giúp quốc gia này giành được hệ số tín nhiệm “hạng đầu tư” từ một số tổ chức</w:t>
      </w:r>
    </w:p>
    <w:p w:rsidR="00000000" w:rsidDel="00000000" w:rsidP="00000000" w:rsidRDefault="00000000" w:rsidRPr="00000000" w14:paraId="00000014">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Nhóm 2: </w:t>
      </w:r>
    </w:p>
    <w:p w:rsidR="00000000" w:rsidDel="00000000" w:rsidP="00000000" w:rsidRDefault="00000000" w:rsidRPr="00000000" w14:paraId="00000015">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4: Trình bày những điểm nổi bật về chế độ chính trị, văn hóa và tôn giáo các nước Đông Nam Á?</w:t>
      </w:r>
    </w:p>
    <w:p w:rsidR="00000000" w:rsidDel="00000000" w:rsidP="00000000" w:rsidRDefault="00000000" w:rsidRPr="00000000" w14:paraId="00000016">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Từ khi giành được độc lập năm 1948 đến nay, Myanmar thường xuyên mất ổn định về mặt chính trị , Năm 1988 đất nước Myanmar bước vào thời kỳ khủng hoảng, cấm vận, đóng cửa và bế tắc.Con đường gia nhập khu vực ASEAN là một biện pháp giúp Myanmar tháo gỡ các khó khăn kinh tế và từng bước thực hiện các cải cách chính trị trong bối cảnh hội nhập . 1988-1997: Chế độ độc tài quân sự ở Myanmar. Trong tình thế khủng hoảng kinh tế - chính trị - xã hội đất nước đã bùng lên mạnh mẽ vào 1988, tướng Saw Maung chỉ huy đã tiến hành đảo chính ngày 18 tháng 9 năm 1988.</w:t>
      </w:r>
    </w:p>
    <w:p w:rsidR="00000000" w:rsidDel="00000000" w:rsidP="00000000" w:rsidRDefault="00000000" w:rsidRPr="00000000" w14:paraId="00000017">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1998-2008: chuyển giao quyền lực chính trị ở Myanmar. Cho ra Hiến pháp, chuyển đổi mô hình nhà nước, cải cách và xây dựng lại đất nước , 2009-2016: Xây dựng và củng cố chế độ dân chủ.</w:t>
      </w:r>
    </w:p>
    <w:p w:rsidR="00000000" w:rsidDel="00000000" w:rsidP="00000000" w:rsidRDefault="00000000" w:rsidRPr="00000000" w14:paraId="00000018">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Các nước đông nam á hầu như chỉ có việt nam theo chế độ xã hội chủ nghĩa , còn các nước thái lan singapore hầu như đã đổi sang chế độ tư bản chủ nghĩa . Ngoài trừ myanmar còn bị nội chiến thì về vấn đề chính trị các nước khá ổn định </w:t>
      </w:r>
    </w:p>
    <w:p w:rsidR="00000000" w:rsidDel="00000000" w:rsidP="00000000" w:rsidRDefault="00000000" w:rsidRPr="00000000" w14:paraId="00000019">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Tôn giáo : các nước đna ảnh hưởng văn hoá từ phương đông nhiều nên đa số theo đạo phật ngoài trừ malaysia , indo , brunei theo đạo hồi.</w:t>
      </w:r>
    </w:p>
    <w:p w:rsidR="00000000" w:rsidDel="00000000" w:rsidP="00000000" w:rsidRDefault="00000000" w:rsidRPr="00000000" w14:paraId="0000001A">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5:  Nêu khái quát tình hình kinh tế - xã hội của Lào từ khi giành được độc lập cho đến những năm đầu thế kỉ XXI? </w:t>
      </w:r>
    </w:p>
    <w:p w:rsidR="00000000" w:rsidDel="00000000" w:rsidP="00000000" w:rsidRDefault="00000000" w:rsidRPr="00000000" w14:paraId="0000001C">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Là một quốc gia không giáp biển, lại có cơ sở hạ tầng chưa hoàn thiện và phần lớn lực lượng lao động thiếu kĩ năng, Lào vẫn là một trong những nước nghèo nhất Đông Nam Á. Kinh tế Lào phụ thuộc nhiều vào đầu tư và thương mại với các nước láng giềng. Năm 2009, dù Lào về chính thức vẫn là nhà nước cộng sản, song chính quyền Obama tuyên bố Lào không còn là nước Marx–Lenin và bỏ lệnh cấm các công ty Lào nhận tài chính từ Ngân hàng Xuất nhập khẩu Hoa Kỳ (Ex-Im Bank). Năm 2011, Sở Giao dịch Chứng khoán Lào bắt đầu giao dịch. Năm 2016, Trung Quốc là nhà đầu tư nước ngoài lớn nhất vào kinh tế Lào, tính luỹ kế họ đã đầu tư 5,395 tỷ USD trong giai đoạn 1989–2014, xếp thứ nhì và thứ ba trong giai đoạn này là Thái Lan (4,489 tỷ USD) và Việt Nam (3,108 tỷ USD)</w:t>
      </w:r>
    </w:p>
    <w:p w:rsidR="00000000" w:rsidDel="00000000" w:rsidP="00000000" w:rsidRDefault="00000000" w:rsidRPr="00000000" w14:paraId="0000001D">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Tại Lào, người Hoa là thế lực chi phối nền kinh tế. Hiện Lào có khoảng 13 đặc khu kinh tế của Trung Quốc, trong đó có Đặc khu Kinh tế Tam giác vàng (GTSEZ) rộng 10.000 hecta. Paul Chamber, giám đốc nghiên cứu của Viện nghiên cứu các vấn đề Đông Nam Á tại Thái Lan, cho biết: "Phía bắc nước Lào giờ đây đã gần như bị biến thành một đất nước Trung Quốc mới". Vào năm 2014, nhiều người dân Lào sống tại GTSEZ đã biểu tình chống lại việc chính quyền giải tỏa và thu hồi đất để mở rộng đặc khu kinh tế này. Theo lời của chuyên gia tư vấn Linh tại Bokeo: "Trung Quốc sẽ tiếp tục xây dựng mối quan hệ tại đây và có thể biến Lào thành một Tây Tạng kế tiếp"</w:t>
      </w:r>
    </w:p>
    <w:p w:rsidR="00000000" w:rsidDel="00000000" w:rsidP="00000000" w:rsidRDefault="00000000" w:rsidRPr="00000000" w14:paraId="0000001E">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F">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6:  Nhờ dầu mỏ, Brunei trở thành một quốc gia giàu có và vì vậy người dân ở Brunei được hưởng những phúc lợi xã hội được xem là tốt hàng đầu thế giới. Anh (chị) hãy nêu những nét nổi bật trong hệ thống phúc lợi và an sinh xã hội của Brunei</w:t>
      </w:r>
    </w:p>
    <w:p w:rsidR="00000000" w:rsidDel="00000000" w:rsidP="00000000" w:rsidRDefault="00000000" w:rsidRPr="00000000" w14:paraId="00000020">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Một trẻ em Brunei ngay từ khi mới sinh ra đã mặc nhiên được đảm bảo một cuộc sống ấm no và hạnh phúc. Với 1$B (1Dollar Brunei tương đương 16.000vnđ), người dân nơi đây có thể chi trả toàn bộ những chi phí căn bản của cuộc sống nhờ vào những cam kết của Quốc vương về y tế và giáo dục.</w:t>
      </w:r>
    </w:p>
    <w:p w:rsidR="00000000" w:rsidDel="00000000" w:rsidP="00000000" w:rsidRDefault="00000000" w:rsidRPr="00000000" w14:paraId="00000021">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Theo đó, mọi người đều có thể vào bệnh viện chăm sóc sức khỏe, từ những bệnh thông thường cho đến những căn bệnh hiểm nghèo, nặng nhất là ung thư. Người bệnh sẽ được chuyển sang Malaysia hoặc Singapore để chữa trị. Mọi chi phí cho người bệnh và người thân chăm sóc kèm theo đều được Chính phủ chi trả.</w:t>
      </w:r>
    </w:p>
    <w:p w:rsidR="00000000" w:rsidDel="00000000" w:rsidP="00000000" w:rsidRDefault="00000000" w:rsidRPr="00000000" w14:paraId="00000022">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Mọi trẻ em đều có cơ hội học tập và sang các quốc gia khác để học lên cao. Chính phủ tài trợ toàn bộ học phí từ cấp tiểu học cho đến đại học và sau đại học. Phụ huynh chỉ phải chịu một khoản phí nhỏ để mua bút và tập trắng.</w:t>
      </w:r>
    </w:p>
    <w:p w:rsidR="00000000" w:rsidDel="00000000" w:rsidP="00000000" w:rsidRDefault="00000000" w:rsidRPr="00000000" w14:paraId="00000023">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Là tổ chức thành viên của Hiệp hội an sinh xã hội Đông Nam Á (ASSA), Quỹ Tabung Amanah Pekeirja (Quỹ tín thác cho người lao động- TAP) của Brunei được thành lập vào năm 1993 khi Quy định Tabung Amanah Pekeirja được đưa ra vào năm 1992 (nay là Luật Tabung Amanah Pekeirja) và có hiệu lực vào ngày 1/1/1993. Chính sách được ban hành dựa trên Kế hoạch phát triển quốc gia lần thứ 5 (1985-1990), đây chính là Quỹ phúc lợi hưu trí.</w:t>
      </w:r>
    </w:p>
    <w:p w:rsidR="00000000" w:rsidDel="00000000" w:rsidP="00000000" w:rsidRDefault="00000000" w:rsidRPr="00000000" w14:paraId="00000024">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TAP nhằm cung cấp một cơ chế tiết kiệm và bảo trợ xã hội tốt nhất tại Brunei. Với nhiệm vụ chủ yếu là hỗ trợ các thành viên tiết kiệm và tối ưu hóa quỹ hưu trí của họ, nhằm đảm bảo tất cả chủ SDLĐ đóng góp bảo hiểm cho NLĐ; đảm bảo rằng tất cả thành viên nhận được mức cổ tức hợp lý qua việc đầu tư từ khoản tiết kiệm của họ; đảm bảo rằng tất cả các thành viên hợp pháp có thể rút tiền tiết kiệm của họ một cách dễ dàng và nhan chóng; cung cấp dịch vụ tốt, hiệu quả, chu đáo và lịch sự cho cả chủ SDLĐ và NLĐ.</w:t>
      </w:r>
    </w:p>
    <w:p w:rsidR="00000000" w:rsidDel="00000000" w:rsidP="00000000" w:rsidRDefault="00000000" w:rsidRPr="00000000" w14:paraId="00000025">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Nhóm 3: </w:t>
      </w:r>
    </w:p>
    <w:p w:rsidR="00000000" w:rsidDel="00000000" w:rsidP="00000000" w:rsidRDefault="00000000" w:rsidRPr="00000000" w14:paraId="00000026">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7: Hãy phân tích những đặc trưng của mô hình phát triển kinh tế </w:t>
      </w:r>
    </w:p>
    <w:p w:rsidR="00000000" w:rsidDel="00000000" w:rsidP="00000000" w:rsidRDefault="00000000" w:rsidRPr="00000000" w14:paraId="00000027">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Đông Nam Á?</w:t>
      </w:r>
    </w:p>
    <w:p w:rsidR="00000000" w:rsidDel="00000000" w:rsidP="00000000" w:rsidRDefault="00000000" w:rsidRPr="00000000" w14:paraId="00000028">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Việc cải cách hay điều chỉnh mô hình phát triển kinh tế của các quốc gia Đông Nam Á là một xu hướng tất yếu, nằm trong xu hướng đổi mới chung của thế giới và khu vực và nếu làm tốt, kết quả mang lại sẽ rất tích cực đối với bản thân nền kinh tế mỗi quốc gia, kinh tế khu vực và kinh tế toàn cầu.</w:t>
      </w:r>
      <w:r w:rsidDel="00000000" w:rsidR="00000000" w:rsidRPr="00000000">
        <w:rPr>
          <w:rtl w:val="0"/>
        </w:rPr>
      </w:r>
    </w:p>
    <w:p w:rsidR="00000000" w:rsidDel="00000000" w:rsidP="00000000" w:rsidRDefault="00000000" w:rsidRPr="00000000" w14:paraId="00000029">
      <w:pPr>
        <w:numPr>
          <w:ilvl w:val="0"/>
          <w:numId w:val="4"/>
        </w:numPr>
        <w:tabs>
          <w:tab w:val="left" w:leader="none" w:pos="709"/>
        </w:tabs>
        <w:spacing w:after="120" w:before="120" w:line="360" w:lineRule="auto"/>
        <w:ind w:left="420" w:firstLine="0"/>
        <w:jc w:val="both"/>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So với Đông Á, mặc dù vai trò của Nhà nước có thể vẫn cao hơn, song chắc chắn sẽ giảm dần (dù chậm), trở nên gián tiếp và mang nặng tính hướng dẫn hơn là bắt buộc và can thiệp trực tiếp kiểu hành chính. Nền kinh tế sẽ được thị trường hoá hơn, dân chủ hơn, tự do hơn, cởi mở hơn và quốc tế hoá hơn; các doanh nghiệp tư nhân (cả lớn cũng như nhỏ) sẽ được chú ý hơn và có vai trò ngày càng bình đẳng hơn.</w:t>
      </w:r>
      <w:r w:rsidDel="00000000" w:rsidR="00000000" w:rsidRPr="00000000">
        <w:rPr>
          <w:rtl w:val="0"/>
        </w:rPr>
      </w:r>
    </w:p>
    <w:p w:rsidR="00000000" w:rsidDel="00000000" w:rsidP="00000000" w:rsidRDefault="00000000" w:rsidRPr="00000000" w14:paraId="0000002A">
      <w:pPr>
        <w:numPr>
          <w:ilvl w:val="0"/>
          <w:numId w:val="4"/>
        </w:numPr>
        <w:tabs>
          <w:tab w:val="left" w:leader="none" w:pos="709"/>
        </w:tabs>
        <w:spacing w:after="120" w:before="120" w:line="360" w:lineRule="auto"/>
        <w:ind w:left="420" w:firstLine="0"/>
        <w:jc w:val="both"/>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Dù ở các mức độ khác nhau, song cơ cấu kinh tế của các quốc gia ASEAN, trong giai đoạn đầu, về cơ bản vẫn giữ thế cân bằng giữa các ngành cần nhiều lao động, tiêu hao nhiều tài nguyên thiên nhiên, và có hàm lựợng công nghệ trung bình, và những ngành có đặc điểm ngược lại. Các ngành công nghiệp phụ trợ sẽ được chú ý phát triển ngày càng hiện đại nhằm đưa các quốc gia ASEAN tham gia vào sự phân công và hợp tác khu vực không phải theo chiều dọc, kiểu BắcNam mà sẽ ngả dần sang chiều ngang, theo mô hình mạng sản xuất và chuỗi giá trị gia tăng, tuỳ theo lợi thế của mỗi nước.</w:t>
      </w:r>
      <w:r w:rsidDel="00000000" w:rsidR="00000000" w:rsidRPr="00000000">
        <w:rPr>
          <w:rtl w:val="0"/>
        </w:rPr>
      </w:r>
    </w:p>
    <w:p w:rsidR="00000000" w:rsidDel="00000000" w:rsidP="00000000" w:rsidRDefault="00000000" w:rsidRPr="00000000" w14:paraId="0000002B">
      <w:pPr>
        <w:numPr>
          <w:ilvl w:val="0"/>
          <w:numId w:val="4"/>
        </w:numPr>
        <w:tabs>
          <w:tab w:val="left" w:leader="none" w:pos="709"/>
        </w:tabs>
        <w:spacing w:after="120" w:before="120" w:line="360" w:lineRule="auto"/>
        <w:ind w:left="420" w:firstLine="0"/>
        <w:jc w:val="both"/>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Trong giai đoạn đầu, các quốc gia này vẫn thiên nhiều hơn vào việc khai thác các nhân tố bên ngoài để tăng trưởng, song cùng với thời gian, cùng với sự thành công của các chính sách khai thác và mở rộng thị trường trong nước (như thuế, an sinh xã hội, khuyến khích tiêu dùng,...), thị trường nội địa sẽ trở thành một động lực tăng trưởng chính, không kém gì nhu cầu bên ngoài.</w:t>
      </w:r>
      <w:r w:rsidDel="00000000" w:rsidR="00000000" w:rsidRPr="00000000">
        <w:rPr>
          <w:rtl w:val="0"/>
        </w:rPr>
      </w:r>
    </w:p>
    <w:p w:rsidR="00000000" w:rsidDel="00000000" w:rsidP="00000000" w:rsidRDefault="00000000" w:rsidRPr="00000000" w14:paraId="0000002C">
      <w:pPr>
        <w:numPr>
          <w:ilvl w:val="0"/>
          <w:numId w:val="4"/>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Cùng với tăng trưởng, công bằng xã hội (về các phương diện phân phối thu nhập, hệ thống giáo dục, hệ thống y tế, và mạng lưới an sinh xã hội) sẽ được chú ý cải cách và hoàn thiện để làm cho chúng được bình đẳng hơn, có chất lượng hơn, và có diện phủ rộng khắp hơn, nhằm tạo cho mọi người dân đều (hoặc ít ra là cảm thấy) có điều kiện và cơ hội để tham gia vào và tận hưởng những thành quả của tăng truởng. Nhờ đó, sẽ tạo được sự đồng thuận và sự đóng góp của toàn xã hội đối với tiến trình phát triển của xã hội.</w:t>
      </w:r>
    </w:p>
    <w:p w:rsidR="00000000" w:rsidDel="00000000" w:rsidP="00000000" w:rsidRDefault="00000000" w:rsidRPr="00000000" w14:paraId="0000002D">
      <w:pPr>
        <w:numPr>
          <w:ilvl w:val="0"/>
          <w:numId w:val="4"/>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Các nền kinh tế ASEAN vẫn (đang) đi theo mô hình dựa chủ yếu (hay ỷ) vào việc khai thác lợi thế vị trí địa lý, lao động giá rẻ, nông nghiệp nhiệt đới và tài nguyên thiên nhiên phong phú. Điều đó có nghĩa là, ở các nước Đông Nam Á, cơ cấu kinh tế và sản phẩm vẫn chủ yếu thiên về các ngành khai thác và các sản phẩm công nghiệp tiêu hao nhiều các yếu tố đầu vào, như nguyên nhiên liệu và lao động, hoặc các công nghệ có hàm lượng tri thức thấp hoặc trung bình. Các ngành và sản phẩm công nghiệp của họ chủ yếu mới đạt đến giai đoạn đầu nguồn hoặc cao một chút, ở trình độ chế biến nông (cả sản phẩm công nghiệp lẫn nông sản), hay gia công và lắp ráp, còn giai đoạn hạ nguồn, chế biến sâu và tinh chưa cao, hoặc mới chỉ ở bước đi ban đầu. Hậu quả là sức cạnh tranh của các quốc gia, các doanh nghiệp và các sản phẩm của Đông Nam Á chưa cao, chưa có sự đột phá nào.</w:t>
      </w:r>
    </w:p>
    <w:p w:rsidR="00000000" w:rsidDel="00000000" w:rsidP="00000000" w:rsidRDefault="00000000" w:rsidRPr="00000000" w14:paraId="0000002E">
      <w:pPr>
        <w:numPr>
          <w:ilvl w:val="0"/>
          <w:numId w:val="4"/>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Có thể nói, sự yếu kém về cơ sở hạ tầng tại các nước này, trước hết, là do các chính phủ của họ đã không sớm nhận ra vai trò quan trọng của cơ sở hạ tầng đối với tăng trưởng kinh tế và đô thị hóa nhanh. Mặc dù từ cách đây hơn 40 năm về trước, khi bắt đầu bước vào giai đoạn CNH hướng về xuất khẩu, họ đã được các chuyên gia và các tổ chức quốc tế cảnh báo rằng, cần sớm chú ý đến quy hoạch và đầu tư cho cơ sở hạ tầng và đô thị. Song đáng tiếc là tầm quan trọng của không chỉ vấn đề đô thị hoá, mà cả vấn đề cơ sở hạ tầng, đã không được các giới chức ở các quốc gia này sớm nhận ra hoặc không được chú ý thích đáng, nên các nguồn vốn đã không được ưu tiên cho các lĩnh vực này và, nếu có, thì lại được sử dụng một cách không có hiệu quả, khác hẳn so với khu vực Đông Á. Nếu các thành phố (Tokyo, Seoul và Taipei) ở Đông Á là động lực cho tăng trưởng và đổi mới kinh tế, thì bộ mặt các thành phố (Bangkok, Manila, và Jakarta) ở các nước ASEAN lại là ô nhiễm, ùn tắc, ngập nước, đắt đỏ, và bất tiện, gây trở ngại cho cả kinh doanh lẫn cuộc sống của người dân. Đồng hành với tình trạng đó là những tai họa như nghèo đói, tội phạm và sự bất lực trong việc cung cấp các dịch vụ đô thị cơ bản như giao thông, điện, nước sạch của các thành phố tại các quốc gia này. Hậu quả tất yếu là sự bùng nổ các phong trào biểu tình ở đô thị đã nhiều lần làm chao đảo chính quyền ở Bangkok, Manila, và Jakarta. </w:t>
      </w:r>
    </w:p>
    <w:p w:rsidR="00000000" w:rsidDel="00000000" w:rsidP="00000000" w:rsidRDefault="00000000" w:rsidRPr="00000000" w14:paraId="0000002F">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0">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8: Anh (chị) hãy trình bày những thành tựu trong lĩnh vực công nghiệp, dịch vụ, và thương mại đầu tư của Singapore? Trong bối cảnh khủng hoảng tài chính châu Á năm 1997, kinh tế Singapore vẫn tiếp tục tăng trưởng. Nguyên nhân vì sao?</w:t>
      </w:r>
    </w:p>
    <w:p w:rsidR="00000000" w:rsidDel="00000000" w:rsidP="00000000" w:rsidRDefault="00000000" w:rsidRPr="00000000" w14:paraId="00000031">
      <w:pPr>
        <w:tabs>
          <w:tab w:val="left" w:leader="none" w:pos="709"/>
        </w:tabs>
        <w:spacing w:after="120" w:before="120" w:line="360" w:lineRule="auto"/>
        <w:jc w:val="both"/>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Công nghiệp:</w:t>
      </w:r>
    </w:p>
    <w:p w:rsidR="00000000" w:rsidDel="00000000" w:rsidP="00000000" w:rsidRDefault="00000000" w:rsidRPr="00000000" w14:paraId="00000032">
      <w:pPr>
        <w:numPr>
          <w:ilvl w:val="0"/>
          <w:numId w:val="5"/>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Singapore là một trong số nhiều quốc gia trên thế giới sớm công bố chương trình liên quan đến công nghiệp 4.0. </w:t>
      </w:r>
    </w:p>
    <w:p w:rsidR="00000000" w:rsidDel="00000000" w:rsidP="00000000" w:rsidRDefault="00000000" w:rsidRPr="00000000" w14:paraId="00000033">
      <w:pPr>
        <w:numPr>
          <w:ilvl w:val="0"/>
          <w:numId w:val="5"/>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Mặc dù là quốc đảo với diện tích hạn chế và nền kinh tế phụ thuộc phần lớn vào các ngành dịch vụ, nhưng Singapore luôn nhận thức được tầm quan trọng của ngành chế biến, chế tạo trong việc thúc đẩy đổi mới sáng tạo, để từ đó nhân rộng các ý tưởng đó sang các ngành khác. </w:t>
      </w:r>
    </w:p>
    <w:p w:rsidR="00000000" w:rsidDel="00000000" w:rsidP="00000000" w:rsidRDefault="00000000" w:rsidRPr="00000000" w14:paraId="00000034">
      <w:pPr>
        <w:numPr>
          <w:ilvl w:val="0"/>
          <w:numId w:val="5"/>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Trong cơ cấu kinh tế của Singapore, công nghiệp chế biến, chế tạo luôn duy trì tỷ trọng ở mức 20%. Chương trình cách mạng công nghiệp lần thứ tư của Singapore tập trung vào việc phát triển mô hình nhà máy, doanh nghiệp và chuỗi giá trị trong tương lai dựa trên nền tảng công nghiệp 4.0, sử dụng các công nghệ nổi bật của cách mạng công nghiệp 4.0.</w:t>
      </w:r>
    </w:p>
    <w:p w:rsidR="00000000" w:rsidDel="00000000" w:rsidP="00000000" w:rsidRDefault="00000000" w:rsidRPr="00000000" w14:paraId="00000035">
      <w:pPr>
        <w:numPr>
          <w:ilvl w:val="0"/>
          <w:numId w:val="5"/>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Mô hình nhà máy tương lai được nghiên cứu cho các lĩnh vực công nghiệp chủ đạo của Singapore, gồm hóa chất, điện tử, dược phẩm, cơ khí chính xác, cơ khí ô-tô... </w:t>
      </w:r>
    </w:p>
    <w:p w:rsidR="00000000" w:rsidDel="00000000" w:rsidP="00000000" w:rsidRDefault="00000000" w:rsidRPr="00000000" w14:paraId="00000036">
      <w:pPr>
        <w:numPr>
          <w:ilvl w:val="0"/>
          <w:numId w:val="5"/>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Ngay từ những năm đầu thập niên 60, Singapore đã chuyển đổi thành công từ vai trò một cảng hàng hóa và căn cứ quân sự của Anh trở thành một trung tâm dịch vụ và công nghiệp của khu vực. </w:t>
      </w:r>
    </w:p>
    <w:p w:rsidR="00000000" w:rsidDel="00000000" w:rsidP="00000000" w:rsidRDefault="00000000" w:rsidRPr="00000000" w14:paraId="00000037">
      <w:pPr>
        <w:numPr>
          <w:ilvl w:val="0"/>
          <w:numId w:val="5"/>
        </w:numPr>
        <w:tabs>
          <w:tab w:val="left" w:leader="none" w:pos="709"/>
        </w:tabs>
        <w:spacing w:after="120" w:before="120" w:line="360" w:lineRule="auto"/>
        <w:ind w:left="420" w:firstLine="0"/>
        <w:jc w:val="both"/>
        <w:rPr>
          <w:rFonts w:ascii="Calibri" w:cs="Calibri" w:eastAsia="Calibri" w:hAnsi="Calibri"/>
          <w:b w:val="1"/>
          <w:sz w:val="26"/>
          <w:szCs w:val="26"/>
          <w:u w:val="single"/>
        </w:rPr>
      </w:pPr>
      <w:r w:rsidDel="00000000" w:rsidR="00000000" w:rsidRPr="00000000">
        <w:rPr>
          <w:rFonts w:ascii="Calibri" w:cs="Calibri" w:eastAsia="Calibri" w:hAnsi="Calibri"/>
          <w:sz w:val="26"/>
          <w:szCs w:val="26"/>
          <w:rtl w:val="0"/>
        </w:rPr>
        <w:t xml:space="preserve">Chính phủ Singapore thành lập doanh nghiệp nhà nước (DNNN) hoạt động và hạn chế sự tham gia của các tập đoàn đa quốc gia. Singapore Airlines là một DNNN rất thành công, cùng với các ngành công nghiệp khác như đóng tàu và viễn thông cũng đều do các DNNN đảm nhận và giữ vai trò chủ đạo, dẫn đến khu vực DNNN tại Singapore thuộc loại lớn trên thế giới tính theo tỷ trọng trong nền kinh tế</w:t>
      </w:r>
      <w:r w:rsidDel="00000000" w:rsidR="00000000" w:rsidRPr="00000000">
        <w:rPr>
          <w:rtl w:val="0"/>
        </w:rPr>
      </w:r>
    </w:p>
    <w:p w:rsidR="00000000" w:rsidDel="00000000" w:rsidP="00000000" w:rsidRDefault="00000000" w:rsidRPr="00000000" w14:paraId="00000038">
      <w:pPr>
        <w:tabs>
          <w:tab w:val="left" w:leader="none" w:pos="709"/>
        </w:tabs>
        <w:spacing w:after="120" w:before="120" w:line="360" w:lineRule="auto"/>
        <w:jc w:val="both"/>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Dịch vụ: </w:t>
      </w:r>
    </w:p>
    <w:p w:rsidR="00000000" w:rsidDel="00000000" w:rsidP="00000000" w:rsidRDefault="00000000" w:rsidRPr="00000000" w14:paraId="00000039">
      <w:pPr>
        <w:numPr>
          <w:ilvl w:val="0"/>
          <w:numId w:val="6"/>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Doanh thu từ du lịch cũng đóng gớp một phần quan trọng vào sự phồn vinh của Singapore. Năm 2019, nước này thu hút 19,11 triệu du khách. Quốc gia này có nhiều điểm du lịch nổi tiếng, trong khi lại nằm gần một số điểm đến khác ở khu vực Đông Nam Á. Nhiều du khách đã đi qua Singapore để tới những quốc gia khác.</w:t>
      </w:r>
    </w:p>
    <w:p w:rsidR="00000000" w:rsidDel="00000000" w:rsidP="00000000" w:rsidRDefault="00000000" w:rsidRPr="00000000" w14:paraId="0000003A">
      <w:pPr>
        <w:numPr>
          <w:ilvl w:val="0"/>
          <w:numId w:val="6"/>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Bên cạnh một nền công nghiệp dựa vào công nghệ tiên tiến của thế giới, Singapore không quên tận dụng một mạnh khác, đó là lĩnh vực dịch vụ, lĩnh vực đóng góp chủ yếu cho GDP của Singapore. Năm 2015, mức đóng góp này là 68,8%. Các ngành dịch vụ thế mạnh của Singapore là vận tải (logistic), và thông tin liên lạc, tài chính, du lịch.</w:t>
      </w:r>
    </w:p>
    <w:p w:rsidR="00000000" w:rsidDel="00000000" w:rsidP="00000000" w:rsidRDefault="00000000" w:rsidRPr="00000000" w14:paraId="0000003B">
      <w:pPr>
        <w:tabs>
          <w:tab w:val="left" w:leader="none" w:pos="709"/>
        </w:tabs>
        <w:spacing w:after="120" w:before="120" w:line="360" w:lineRule="auto"/>
        <w:jc w:val="both"/>
        <w:rPr>
          <w:rFonts w:ascii="Calibri" w:cs="Calibri" w:eastAsia="Calibri" w:hAnsi="Calibri"/>
          <w:b w:val="1"/>
          <w:sz w:val="26"/>
          <w:szCs w:val="26"/>
          <w:u w:val="single"/>
        </w:rPr>
      </w:pPr>
      <w:r w:rsidDel="00000000" w:rsidR="00000000" w:rsidRPr="00000000">
        <w:rPr>
          <w:rFonts w:ascii="Calibri" w:cs="Calibri" w:eastAsia="Calibri" w:hAnsi="Calibri"/>
          <w:b w:val="1"/>
          <w:sz w:val="26"/>
          <w:szCs w:val="26"/>
          <w:u w:val="single"/>
          <w:rtl w:val="0"/>
        </w:rPr>
        <w:t xml:space="preserve">Thương mại đầu tư: </w:t>
      </w:r>
    </w:p>
    <w:p w:rsidR="00000000" w:rsidDel="00000000" w:rsidP="00000000" w:rsidRDefault="00000000" w:rsidRPr="00000000" w14:paraId="0000003C">
      <w:pPr>
        <w:numPr>
          <w:ilvl w:val="0"/>
          <w:numId w:val="7"/>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Singapore là đối tác thương mại lớn nhất của nước Anh ở Đông Nam Á với 2/3 hàng hóa của Vương Quốc Anh xuất khẩu sang khu vực này chảy vào Singapore.</w:t>
      </w:r>
    </w:p>
    <w:p w:rsidR="00000000" w:rsidDel="00000000" w:rsidP="00000000" w:rsidRDefault="00000000" w:rsidRPr="00000000" w14:paraId="0000003D">
      <w:pPr>
        <w:numPr>
          <w:ilvl w:val="0"/>
          <w:numId w:val="7"/>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Có vài biểu thuế nhập khẩu và Singapore hỗ trợ quá trình gia nhập WTO đầy đủ. Singapore là nước ASEAN đầu tiên để bắt đầu các cuộc đàm phán với EU cho một Hiệp định Thương mại song phương (FTA).</w:t>
      </w:r>
    </w:p>
    <w:p w:rsidR="00000000" w:rsidDel="00000000" w:rsidP="00000000" w:rsidRDefault="00000000" w:rsidRPr="00000000" w14:paraId="0000003E">
      <w:pPr>
        <w:numPr>
          <w:ilvl w:val="0"/>
          <w:numId w:val="7"/>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Diễn đàn Kinh tế Thế giới xếp hạng Singapore đứng thứ ba trong Chỉ số năng lực cạnh tranh toàn cầu của mình.</w:t>
      </w:r>
    </w:p>
    <w:p w:rsidR="00000000" w:rsidDel="00000000" w:rsidP="00000000" w:rsidRDefault="00000000" w:rsidRPr="00000000" w14:paraId="0000003F">
      <w:pPr>
        <w:numPr>
          <w:ilvl w:val="0"/>
          <w:numId w:val="7"/>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Trong năm 2011, cho năm thứ năm liên tiếp, Ngân hàng Thế giới xếp hạng Singapore đứng số một toàn cầu cho môi trường kinh doanh. Nó cũng được xếp hạng trung tâm tài chính lớn thứ tư toàn cầu trong năm 2010 và bây giờ là trung tâm giao dịch ngoại hối lớn thứ 4 thế giới.</w:t>
      </w:r>
    </w:p>
    <w:p w:rsidR="00000000" w:rsidDel="00000000" w:rsidP="00000000" w:rsidRDefault="00000000" w:rsidRPr="00000000" w14:paraId="00000040">
      <w:pPr>
        <w:tabs>
          <w:tab w:val="left" w:leader="none" w:pos="709"/>
        </w:tabs>
        <w:spacing w:after="120" w:before="120" w:line="360" w:lineRule="auto"/>
        <w:jc w:val="both"/>
        <w:rPr>
          <w:rFonts w:ascii="Calibri" w:cs="Calibri" w:eastAsia="Calibri" w:hAnsi="Calibri"/>
          <w:sz w:val="26"/>
          <w:szCs w:val="26"/>
          <w:u w:val="single"/>
        </w:rPr>
      </w:pPr>
      <w:r w:rsidDel="00000000" w:rsidR="00000000" w:rsidRPr="00000000">
        <w:rPr>
          <w:rFonts w:ascii="Calibri" w:cs="Calibri" w:eastAsia="Calibri" w:hAnsi="Calibri"/>
          <w:b w:val="1"/>
          <w:sz w:val="26"/>
          <w:szCs w:val="26"/>
          <w:u w:val="single"/>
          <w:rtl w:val="0"/>
        </w:rPr>
        <w:t xml:space="preserve">Trong bối cảnh khủng hoảng tài chính châu Á năm 1997, kinh tế Singapore vẫn tiếp tục tăng trưởng vì: </w:t>
      </w:r>
      <w:r w:rsidDel="00000000" w:rsidR="00000000" w:rsidRPr="00000000">
        <w:rPr>
          <w:rtl w:val="0"/>
        </w:rPr>
      </w:r>
    </w:p>
    <w:p w:rsidR="00000000" w:rsidDel="00000000" w:rsidP="00000000" w:rsidRDefault="00000000" w:rsidRPr="00000000" w14:paraId="00000041">
      <w:pPr>
        <w:numPr>
          <w:ilvl w:val="0"/>
          <w:numId w:val="8"/>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Các quốc gia bị ảnh hưởng và tàn phá nặng nề nhất bởi cuộc khủng hoảng là những quốc gia tham nhũng nhất. Nguyên nhân phổ biến nhất của tham nhũng là những yếu tố môi trường chính trị và kinh tế. Bên cạnh đó là đạo đức, đạo đức nghề nghiệp, thói quen, phong tục, truyền thống.</w:t>
      </w:r>
    </w:p>
    <w:p w:rsidR="00000000" w:rsidDel="00000000" w:rsidP="00000000" w:rsidRDefault="00000000" w:rsidRPr="00000000" w14:paraId="00000042">
      <w:pPr>
        <w:numPr>
          <w:ilvl w:val="0"/>
          <w:numId w:val="8"/>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Singapore là một điểm sáng về chống tham nhũng. Ngay từ ban đầu, Singapore đã nhận thức được rằng, các quan chức quyền lực nhỏ có mức lương thấp, khiến họ không thể sống được bằng tiền lương là một khởi nguồn cho tham nhũng.</w:t>
      </w:r>
    </w:p>
    <w:p w:rsidR="00000000" w:rsidDel="00000000" w:rsidP="00000000" w:rsidRDefault="00000000" w:rsidRPr="00000000" w14:paraId="00000043">
      <w:pPr>
        <w:numPr>
          <w:ilvl w:val="0"/>
          <w:numId w:val="8"/>
        </w:numPr>
        <w:tabs>
          <w:tab w:val="left" w:leader="none" w:pos="709"/>
        </w:tabs>
        <w:spacing w:after="120" w:before="120" w:line="360" w:lineRule="auto"/>
        <w:ind w:left="420" w:firstLine="0"/>
        <w:jc w:val="both"/>
        <w:rPr>
          <w:rFonts w:ascii="Calibri" w:cs="Calibri" w:eastAsia="Calibri" w:hAnsi="Calibri"/>
          <w:b w:val="1"/>
          <w:sz w:val="26"/>
          <w:szCs w:val="26"/>
          <w:u w:val="single"/>
        </w:rPr>
      </w:pPr>
      <w:r w:rsidDel="00000000" w:rsidR="00000000" w:rsidRPr="00000000">
        <w:rPr>
          <w:rFonts w:ascii="Calibri" w:cs="Calibri" w:eastAsia="Calibri" w:hAnsi="Calibri"/>
          <w:sz w:val="26"/>
          <w:szCs w:val="26"/>
          <w:rtl w:val="0"/>
        </w:rPr>
        <w:t xml:space="preserve">Theo ông Lý Quang Diệu, vị Thủ tướng đầu tiên (1959 - 1990) của Singapore, quốc đảo này đặc biệt chú ý đến các lĩnh vực mà quyền được tự do làm theo ý mình đã bị lợi dụng để trục lợi cá nhân. Những công cụ sắc bén đã được hình thành để có thể ngăn ngừa, phát hiện và cản trở các hành vi đó.</w:t>
      </w:r>
      <w:r w:rsidDel="00000000" w:rsidR="00000000" w:rsidRPr="00000000">
        <w:rPr>
          <w:rtl w:val="0"/>
        </w:rPr>
      </w:r>
    </w:p>
    <w:p w:rsidR="00000000" w:rsidDel="00000000" w:rsidP="00000000" w:rsidRDefault="00000000" w:rsidRPr="00000000" w14:paraId="00000044">
      <w:pPr>
        <w:numPr>
          <w:ilvl w:val="0"/>
          <w:numId w:val="8"/>
        </w:numPr>
        <w:tabs>
          <w:tab w:val="left" w:leader="none" w:pos="709"/>
        </w:tabs>
        <w:spacing w:after="120" w:before="120" w:line="360" w:lineRule="auto"/>
        <w:ind w:left="420" w:firstLine="0"/>
        <w:jc w:val="both"/>
        <w:rPr>
          <w:rFonts w:ascii="Calibri" w:cs="Calibri" w:eastAsia="Calibri" w:hAnsi="Calibri"/>
          <w:b w:val="1"/>
          <w:sz w:val="26"/>
          <w:szCs w:val="26"/>
          <w:u w:val="single"/>
        </w:rPr>
      </w:pPr>
      <w:r w:rsidDel="00000000" w:rsidR="00000000" w:rsidRPr="00000000">
        <w:rPr>
          <w:rFonts w:ascii="Calibri" w:cs="Calibri" w:eastAsia="Calibri" w:hAnsi="Calibri"/>
          <w:sz w:val="26"/>
          <w:szCs w:val="26"/>
          <w:rtl w:val="0"/>
        </w:rPr>
        <w:t xml:space="preserve">Ở Singapore, luật về chống tham nhũng được thắt chặt để bảo đảm các bản án được áp dụng, thực thi. Ví dụ, bằng cách mở rộng định nghĩa về “tiền thưởng thêm”, là bao gồm bất cứ thứ gì có giá trị; những sửa đổi về luật đã trao quyền rộng rãi cho các nhà điều tra như: được bắt giữ, tìm kiếm và truy cập vào tài khoản ngân hàng của nghi phạm, vợ, con cái, người đại diện của họ.</w:t>
      </w:r>
      <w:r w:rsidDel="00000000" w:rsidR="00000000" w:rsidRPr="00000000">
        <w:rPr>
          <w:rtl w:val="0"/>
        </w:rPr>
      </w:r>
    </w:p>
    <w:p w:rsidR="00000000" w:rsidDel="00000000" w:rsidP="00000000" w:rsidRDefault="00000000" w:rsidRPr="00000000" w14:paraId="00000045">
      <w:pPr>
        <w:numPr>
          <w:ilvl w:val="0"/>
          <w:numId w:val="8"/>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Và Singapore đã có thể vượt qua khủng hoảng tài chính năm 1997 nhờ không có tham nhũng và chủ nghĩa thân hữu.</w:t>
      </w:r>
    </w:p>
    <w:p w:rsidR="00000000" w:rsidDel="00000000" w:rsidP="00000000" w:rsidRDefault="00000000" w:rsidRPr="00000000" w14:paraId="00000046">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7">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9: Anh (chị) hãy nêu khái quát tình hình kinh tế - xã hội Thái Lan trong  những năm đầu thế kỷ XX? </w:t>
      </w:r>
    </w:p>
    <w:p w:rsidR="00000000" w:rsidDel="00000000" w:rsidP="00000000" w:rsidRDefault="00000000" w:rsidRPr="00000000" w14:paraId="00000048">
      <w:pPr>
        <w:numPr>
          <w:ilvl w:val="0"/>
          <w:numId w:val="9"/>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Thái Lan là nước nông nghiệp truyền thống. Sau 9 kế hoạch 5 năm (1960 - 2006) phát triển kinh tế - xã hội, thực hiện chính sách hướng vào xuất khẩu, ngành công nghiệp và dịch vụ dần đóng vai trò quan trọng trong nền kinh tế. Từ 1988 đến 1995, kinh tế có tốc độ tăng trưởng 8% đến 10%, sau thời kỳ khủng hoảng tiền tệ (1997 - 1998) cho đến nay, kinh tế tiếp tục phục hồi và phát triển ổn định, dự trữ ngoại tệ đạt mức cao. Sản phẩm công nghiệp: Hàng dệt, đồ uống, thuốc lá, xi măng, hàng công nghiệp nhẹ, dụng cụ điện và phụ tùng, máy tính và linh kiện, mạch tích hợp, đồ gỗ, đồ nhựa. Thái Lan là nước sản xuất tungsten đứng thứ hai thế giới và thiếc đứng thứ ba thế giới. Sản phẩm nông nghiệp: Gạo, sắn, cao su, ngô, mía, dừa, đậu.</w:t>
      </w:r>
    </w:p>
    <w:p w:rsidR="00000000" w:rsidDel="00000000" w:rsidP="00000000" w:rsidRDefault="00000000" w:rsidRPr="00000000" w14:paraId="00000049">
      <w:pPr>
        <w:numPr>
          <w:ilvl w:val="0"/>
          <w:numId w:val="9"/>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Từ năm 1985 đến năm 1995, kinh tế </w:t>
      </w:r>
      <w:hyperlink r:id="rId7">
        <w:r w:rsidDel="00000000" w:rsidR="00000000" w:rsidRPr="00000000">
          <w:rPr>
            <w:rFonts w:ascii="Calibri" w:cs="Calibri" w:eastAsia="Calibri" w:hAnsi="Calibri"/>
            <w:color w:val="0000ff"/>
            <w:sz w:val="26"/>
            <w:szCs w:val="26"/>
            <w:u w:val="single"/>
            <w:rtl w:val="0"/>
          </w:rPr>
          <w:t xml:space="preserve">Thái Lan</w:t>
        </w:r>
      </w:hyperlink>
      <w:r w:rsidDel="00000000" w:rsidR="00000000" w:rsidRPr="00000000">
        <w:rPr>
          <w:rFonts w:ascii="Calibri" w:cs="Calibri" w:eastAsia="Calibri" w:hAnsi="Calibri"/>
          <w:sz w:val="26"/>
          <w:szCs w:val="26"/>
          <w:rtl w:val="0"/>
        </w:rPr>
        <w:t xml:space="preserve"> tăng trưởng với tốc độ </w:t>
      </w:r>
      <w:hyperlink r:id="rId8">
        <w:r w:rsidDel="00000000" w:rsidR="00000000" w:rsidRPr="00000000">
          <w:rPr>
            <w:rFonts w:ascii="Calibri" w:cs="Calibri" w:eastAsia="Calibri" w:hAnsi="Calibri"/>
            <w:color w:val="0000ff"/>
            <w:sz w:val="26"/>
            <w:szCs w:val="26"/>
            <w:u w:val="single"/>
            <w:rtl w:val="0"/>
          </w:rPr>
          <w:t xml:space="preserve">bình quân</w:t>
        </w:r>
      </w:hyperlink>
      <w:r w:rsidDel="00000000" w:rsidR="00000000" w:rsidRPr="00000000">
        <w:rPr>
          <w:rFonts w:ascii="Calibri" w:cs="Calibri" w:eastAsia="Calibri" w:hAnsi="Calibri"/>
          <w:sz w:val="26"/>
          <w:szCs w:val="26"/>
          <w:rtl w:val="0"/>
        </w:rPr>
        <w:t xml:space="preserve"> hàng năm là 9%. Cuối năm 1996, báo cáo Triển vọng Kinh tế Thế giới của IMF đã cảnh báo nền kinh tế Thái Lan tăng trưởng quá nóng và </w:t>
      </w:r>
      <w:hyperlink r:id="rId9">
        <w:r w:rsidDel="00000000" w:rsidR="00000000" w:rsidRPr="00000000">
          <w:rPr>
            <w:rFonts w:ascii="Calibri" w:cs="Calibri" w:eastAsia="Calibri" w:hAnsi="Calibri"/>
            <w:color w:val="0000ff"/>
            <w:sz w:val="26"/>
            <w:szCs w:val="26"/>
            <w:u w:val="single"/>
            <w:rtl w:val="0"/>
          </w:rPr>
          <w:t xml:space="preserve">bong bóng kinh tế</w:t>
        </w:r>
      </w:hyperlink>
      <w:r w:rsidDel="00000000" w:rsidR="00000000" w:rsidRPr="00000000">
        <w:rPr>
          <w:rFonts w:ascii="Calibri" w:cs="Calibri" w:eastAsia="Calibri" w:hAnsi="Calibri"/>
          <w:sz w:val="26"/>
          <w:szCs w:val="26"/>
          <w:rtl w:val="0"/>
        </w:rPr>
        <w:t xml:space="preserve"> có thể không giữ được lâu. Cuối năm 1996, thị trường chứng khoán Thái Lan bắt đầu có sự điều chỉnh. Cả mức vốn hóa thị trường vốn lẫn chỉ số thị trường chứng khoán đều giảm đi.</w:t>
      </w:r>
    </w:p>
    <w:p w:rsidR="00000000" w:rsidDel="00000000" w:rsidP="00000000" w:rsidRDefault="00000000" w:rsidRPr="00000000" w14:paraId="0000004A">
      <w:pPr>
        <w:numPr>
          <w:ilvl w:val="0"/>
          <w:numId w:val="9"/>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Ngày </w:t>
      </w:r>
      <w:hyperlink r:id="rId10">
        <w:r w:rsidDel="00000000" w:rsidR="00000000" w:rsidRPr="00000000">
          <w:rPr>
            <w:rFonts w:ascii="Calibri" w:cs="Calibri" w:eastAsia="Calibri" w:hAnsi="Calibri"/>
            <w:color w:val="0000ff"/>
            <w:sz w:val="26"/>
            <w:szCs w:val="26"/>
            <w:u w:val="single"/>
            <w:rtl w:val="0"/>
          </w:rPr>
          <w:t xml:space="preserve">14 tháng 5</w:t>
        </w:r>
      </w:hyperlink>
      <w:r w:rsidDel="00000000" w:rsidR="00000000" w:rsidRPr="00000000">
        <w:rPr>
          <w:rFonts w:ascii="Calibri" w:cs="Calibri" w:eastAsia="Calibri" w:hAnsi="Calibri"/>
          <w:sz w:val="26"/>
          <w:szCs w:val="26"/>
          <w:rtl w:val="0"/>
        </w:rPr>
        <w:t xml:space="preserve"> và ngày </w:t>
      </w:r>
      <w:hyperlink r:id="rId11">
        <w:r w:rsidDel="00000000" w:rsidR="00000000" w:rsidRPr="00000000">
          <w:rPr>
            <w:rFonts w:ascii="Calibri" w:cs="Calibri" w:eastAsia="Calibri" w:hAnsi="Calibri"/>
            <w:color w:val="0000ff"/>
            <w:sz w:val="26"/>
            <w:szCs w:val="26"/>
            <w:u w:val="single"/>
            <w:rtl w:val="0"/>
          </w:rPr>
          <w:t xml:space="preserve">15 tháng 5</w:t>
        </w:r>
      </w:hyperlink>
      <w:r w:rsidDel="00000000" w:rsidR="00000000" w:rsidRPr="00000000">
        <w:rPr>
          <w:rFonts w:ascii="Calibri" w:cs="Calibri" w:eastAsia="Calibri" w:hAnsi="Calibri"/>
          <w:sz w:val="26"/>
          <w:szCs w:val="26"/>
          <w:rtl w:val="0"/>
        </w:rPr>
        <w:t xml:space="preserve"> năm </w:t>
      </w:r>
      <w:hyperlink r:id="rId12">
        <w:r w:rsidDel="00000000" w:rsidR="00000000" w:rsidRPr="00000000">
          <w:rPr>
            <w:rFonts w:ascii="Calibri" w:cs="Calibri" w:eastAsia="Calibri" w:hAnsi="Calibri"/>
            <w:color w:val="0000ff"/>
            <w:sz w:val="26"/>
            <w:szCs w:val="26"/>
            <w:u w:val="single"/>
            <w:rtl w:val="0"/>
          </w:rPr>
          <w:t xml:space="preserve">1997</w:t>
        </w:r>
      </w:hyperlink>
      <w:r w:rsidDel="00000000" w:rsidR="00000000" w:rsidRPr="00000000">
        <w:rPr>
          <w:rFonts w:ascii="Calibri" w:cs="Calibri" w:eastAsia="Calibri" w:hAnsi="Calibri"/>
          <w:sz w:val="26"/>
          <w:szCs w:val="26"/>
          <w:rtl w:val="0"/>
        </w:rPr>
        <w:t xml:space="preserve">, đồng </w:t>
      </w:r>
      <w:hyperlink r:id="rId13">
        <w:r w:rsidDel="00000000" w:rsidR="00000000" w:rsidRPr="00000000">
          <w:rPr>
            <w:rFonts w:ascii="Calibri" w:cs="Calibri" w:eastAsia="Calibri" w:hAnsi="Calibri"/>
            <w:color w:val="0000ff"/>
            <w:sz w:val="26"/>
            <w:szCs w:val="26"/>
            <w:u w:val="single"/>
            <w:rtl w:val="0"/>
          </w:rPr>
          <w:t xml:space="preserve">baht Thái</w:t>
        </w:r>
      </w:hyperlink>
      <w:r w:rsidDel="00000000" w:rsidR="00000000" w:rsidRPr="00000000">
        <w:rPr>
          <w:rFonts w:ascii="Calibri" w:cs="Calibri" w:eastAsia="Calibri" w:hAnsi="Calibri"/>
          <w:sz w:val="26"/>
          <w:szCs w:val="26"/>
          <w:rtl w:val="0"/>
        </w:rPr>
        <w:t xml:space="preserve"> bị tấn công đầu cơ quy mô lớn. Ngày </w:t>
      </w:r>
      <w:hyperlink r:id="rId14">
        <w:r w:rsidDel="00000000" w:rsidR="00000000" w:rsidRPr="00000000">
          <w:rPr>
            <w:rFonts w:ascii="Calibri" w:cs="Calibri" w:eastAsia="Calibri" w:hAnsi="Calibri"/>
            <w:color w:val="0000ff"/>
            <w:sz w:val="26"/>
            <w:szCs w:val="26"/>
            <w:u w:val="single"/>
            <w:rtl w:val="0"/>
          </w:rPr>
          <w:t xml:space="preserve">30 tháng 6</w:t>
        </w:r>
      </w:hyperlink>
      <w:r w:rsidDel="00000000" w:rsidR="00000000" w:rsidRPr="00000000">
        <w:rPr>
          <w:rFonts w:ascii="Calibri" w:cs="Calibri" w:eastAsia="Calibri" w:hAnsi="Calibri"/>
          <w:sz w:val="26"/>
          <w:szCs w:val="26"/>
          <w:rtl w:val="0"/>
        </w:rPr>
        <w:t xml:space="preserve">, thủ tướng Thái Lan </w:t>
      </w:r>
      <w:hyperlink r:id="rId15">
        <w:r w:rsidDel="00000000" w:rsidR="00000000" w:rsidRPr="00000000">
          <w:rPr>
            <w:rFonts w:ascii="Calibri" w:cs="Calibri" w:eastAsia="Calibri" w:hAnsi="Calibri"/>
            <w:color w:val="0000ff"/>
            <w:sz w:val="26"/>
            <w:szCs w:val="26"/>
            <w:u w:val="single"/>
            <w:rtl w:val="0"/>
          </w:rPr>
          <w:t xml:space="preserve">Chavalit Yongchaiyudh</w:t>
        </w:r>
      </w:hyperlink>
      <w:r w:rsidDel="00000000" w:rsidR="00000000" w:rsidRPr="00000000">
        <w:rPr>
          <w:rFonts w:ascii="Calibri" w:cs="Calibri" w:eastAsia="Calibri" w:hAnsi="Calibri"/>
          <w:sz w:val="26"/>
          <w:szCs w:val="26"/>
          <w:rtl w:val="0"/>
        </w:rPr>
        <w:t xml:space="preserve"> tuyên bố sẽ không phá giá baht, song rốt cục lại thả nổi baht vào ngày 2 tháng 7. Baht ngay lập tức mất giá gần 50%. Vào tháng 1 năm 1998, nó đã xuống đến mức 56 baht mới đổi được 1 dollar Mỹ. Chỉ số thị trường chứng khoán Thái Lan đã tụt từ mức 1.280 cuối năm 1995 xuống còn 372 cuối năm 1997. Đồng thời, mức vốn hóa thị trường vốn giảm từ 141,5 tỷ USD xuống còn 23,5 tỷ USD. </w:t>
      </w:r>
      <w:hyperlink r:id="rId16">
        <w:r w:rsidDel="00000000" w:rsidR="00000000" w:rsidRPr="00000000">
          <w:rPr>
            <w:rFonts w:ascii="Calibri" w:cs="Calibri" w:eastAsia="Calibri" w:hAnsi="Calibri"/>
            <w:color w:val="0000ff"/>
            <w:sz w:val="26"/>
            <w:szCs w:val="26"/>
            <w:u w:val="single"/>
            <w:rtl w:val="0"/>
          </w:rPr>
          <w:t xml:space="preserve">Finance One</w:t>
        </w:r>
      </w:hyperlink>
      <w:r w:rsidDel="00000000" w:rsidR="00000000" w:rsidRPr="00000000">
        <w:rPr>
          <w:rFonts w:ascii="Calibri" w:cs="Calibri" w:eastAsia="Calibri" w:hAnsi="Calibri"/>
          <w:sz w:val="26"/>
          <w:szCs w:val="26"/>
          <w:rtl w:val="0"/>
        </w:rPr>
        <w:t xml:space="preserve">, công ty tài chính lớn nhất của Thái Lan bị phá sản. Ngày 11 tháng 8, IMF tuyên bố sẽ cung cấp một gói cứu trợ trị giá 16 tỷ dollar Mỹ cho Thái Lan. Ngày 20 tháng 8, IMF thông qua một gói cứu trợ nữa trị giá 3,9 tỷ dollar.</w:t>
      </w:r>
    </w:p>
    <w:p w:rsidR="00000000" w:rsidDel="00000000" w:rsidP="00000000" w:rsidRDefault="00000000" w:rsidRPr="00000000" w14:paraId="0000004B">
      <w:pPr>
        <w:numPr>
          <w:ilvl w:val="0"/>
          <w:numId w:val="9"/>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Sự phục hồi của Thái Lan từ cơn </w:t>
      </w:r>
      <w:hyperlink r:id="rId17">
        <w:r w:rsidDel="00000000" w:rsidR="00000000" w:rsidRPr="00000000">
          <w:rPr>
            <w:rFonts w:ascii="Calibri" w:cs="Calibri" w:eastAsia="Calibri" w:hAnsi="Calibri"/>
            <w:color w:val="0000ff"/>
            <w:sz w:val="26"/>
            <w:szCs w:val="26"/>
            <w:u w:val="single"/>
            <w:rtl w:val="0"/>
          </w:rPr>
          <w:t xml:space="preserve">khủng hoảng tài chính châu Á</w:t>
        </w:r>
      </w:hyperlink>
      <w:r w:rsidDel="00000000" w:rsidR="00000000" w:rsidRPr="00000000">
        <w:rPr>
          <w:rFonts w:ascii="Calibri" w:cs="Calibri" w:eastAsia="Calibri" w:hAnsi="Calibri"/>
          <w:sz w:val="26"/>
          <w:szCs w:val="26"/>
          <w:rtl w:val="0"/>
        </w:rPr>
        <w:t xml:space="preserve"> 1997-98 dựa trên </w:t>
      </w:r>
      <w:hyperlink r:id="rId18">
        <w:r w:rsidDel="00000000" w:rsidR="00000000" w:rsidRPr="00000000">
          <w:rPr>
            <w:rFonts w:ascii="Calibri" w:cs="Calibri" w:eastAsia="Calibri" w:hAnsi="Calibri"/>
            <w:color w:val="0000ff"/>
            <w:sz w:val="26"/>
            <w:szCs w:val="26"/>
            <w:u w:val="single"/>
            <w:rtl w:val="0"/>
          </w:rPr>
          <w:t xml:space="preserve">xuất khẩu</w:t>
        </w:r>
      </w:hyperlink>
      <w:r w:rsidDel="00000000" w:rsidR="00000000" w:rsidRPr="00000000">
        <w:rPr>
          <w:rFonts w:ascii="Calibri" w:cs="Calibri" w:eastAsia="Calibri" w:hAnsi="Calibri"/>
          <w:sz w:val="26"/>
          <w:szCs w:val="26"/>
          <w:rtl w:val="0"/>
        </w:rPr>
        <w:t xml:space="preserve">, phần lớn là do nhu cầu bên ngoài từ </w:t>
      </w:r>
      <w:hyperlink r:id="rId19">
        <w:r w:rsidDel="00000000" w:rsidR="00000000" w:rsidRPr="00000000">
          <w:rPr>
            <w:rFonts w:ascii="Calibri" w:cs="Calibri" w:eastAsia="Calibri" w:hAnsi="Calibri"/>
            <w:color w:val="0000ff"/>
            <w:sz w:val="26"/>
            <w:szCs w:val="26"/>
            <w:u w:val="single"/>
            <w:rtl w:val="0"/>
          </w:rPr>
          <w:t xml:space="preserve">Hoa Kỳ</w:t>
        </w:r>
      </w:hyperlink>
      <w:r w:rsidDel="00000000" w:rsidR="00000000" w:rsidRPr="00000000">
        <w:rPr>
          <w:rFonts w:ascii="Calibri" w:cs="Calibri" w:eastAsia="Calibri" w:hAnsi="Calibri"/>
          <w:sz w:val="26"/>
          <w:szCs w:val="26"/>
          <w:rtl w:val="0"/>
        </w:rPr>
        <w:t xml:space="preserve"> và các </w:t>
      </w:r>
      <w:hyperlink r:id="rId20">
        <w:r w:rsidDel="00000000" w:rsidR="00000000" w:rsidRPr="00000000">
          <w:rPr>
            <w:rFonts w:ascii="Calibri" w:cs="Calibri" w:eastAsia="Calibri" w:hAnsi="Calibri"/>
            <w:color w:val="0000ff"/>
            <w:sz w:val="26"/>
            <w:szCs w:val="26"/>
            <w:u w:val="single"/>
            <w:rtl w:val="0"/>
          </w:rPr>
          <w:t xml:space="preserve">thị trường</w:t>
        </w:r>
      </w:hyperlink>
      <w:r w:rsidDel="00000000" w:rsidR="00000000" w:rsidRPr="00000000">
        <w:rPr>
          <w:rFonts w:ascii="Calibri" w:cs="Calibri" w:eastAsia="Calibri" w:hAnsi="Calibri"/>
          <w:sz w:val="26"/>
          <w:szCs w:val="26"/>
          <w:rtl w:val="0"/>
        </w:rPr>
        <w:t xml:space="preserve"> nước ngoài khác.</w:t>
      </w:r>
    </w:p>
    <w:p w:rsidR="00000000" w:rsidDel="00000000" w:rsidP="00000000" w:rsidRDefault="00000000" w:rsidRPr="00000000" w14:paraId="0000004C">
      <w:pPr>
        <w:numPr>
          <w:ilvl w:val="0"/>
          <w:numId w:val="10"/>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Chính sách tiền tệ: Do Ủy ban Chính sách Tiền tệ hoạch định, với mục tiêu bình ổn giá cả,</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6"/>
          <w:szCs w:val="26"/>
          <w:rtl w:val="0"/>
        </w:rPr>
        <w:t xml:space="preserve">kiểm soát lạm phát nhằm duy trì tăng trưởng kinh tế bền vững, thông qua việc áp dụng tỷ giá mua lại 14 ngày làm tỷ giá chủ yếu.</w:t>
      </w:r>
    </w:p>
    <w:p w:rsidR="00000000" w:rsidDel="00000000" w:rsidP="00000000" w:rsidRDefault="00000000" w:rsidRPr="00000000" w14:paraId="0000004D">
      <w:pPr>
        <w:numPr>
          <w:ilvl w:val="0"/>
          <w:numId w:val="10"/>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Triển vọng trung hạn: Trong giai đoạn trung hạn (2005-2009), theo dự báo của Bộ Tài chính Thái Lan, tốc độ tăng trưởng kinh tế sẽ đứng ở mức 5,9%/năm với tỷ lệ lạm phát là 3,2%/năm. Tăng trưởng kinh tế trong giai đoạn này chủ yếu nhờ vào sự phát triển ổn định của nhu cầu tiêu dùng khu vực tư nhân, xuất khẩu gia tăng, đầu tư tăng mạnh ở cả khu vực công và tư nhằm nâng cao năng lực sản xuất.</w:t>
      </w:r>
    </w:p>
    <w:p w:rsidR="00000000" w:rsidDel="00000000" w:rsidP="00000000" w:rsidRDefault="00000000" w:rsidRPr="00000000" w14:paraId="0000004E">
      <w:pPr>
        <w:numPr>
          <w:ilvl w:val="0"/>
          <w:numId w:val="11"/>
        </w:numPr>
        <w:tabs>
          <w:tab w:val="left" w:leader="none" w:pos="709"/>
        </w:tabs>
        <w:spacing w:after="120" w:before="120" w:line="360" w:lineRule="auto"/>
        <w:ind w:left="420" w:firstLine="0"/>
        <w:jc w:val="both"/>
        <w:rPr>
          <w:rFonts w:ascii="Calibri" w:cs="Calibri" w:eastAsia="Calibri" w:hAnsi="Calibri"/>
          <w:sz w:val="26"/>
          <w:szCs w:val="26"/>
        </w:rPr>
      </w:pPr>
      <w:hyperlink r:id="rId21">
        <w:r w:rsidDel="00000000" w:rsidR="00000000" w:rsidRPr="00000000">
          <w:rPr>
            <w:rFonts w:ascii="Calibri" w:cs="Calibri" w:eastAsia="Calibri" w:hAnsi="Calibri"/>
            <w:color w:val="0000ff"/>
            <w:sz w:val="26"/>
            <w:szCs w:val="26"/>
            <w:u w:val="single"/>
            <w:rtl w:val="0"/>
          </w:rPr>
          <w:t xml:space="preserve">Người Thái gốc Hoa</w:t>
        </w:r>
      </w:hyperlink>
      <w:r w:rsidDel="00000000" w:rsidR="00000000" w:rsidRPr="00000000">
        <w:rPr>
          <w:rFonts w:ascii="Calibri" w:cs="Calibri" w:eastAsia="Calibri" w:hAnsi="Calibri"/>
          <w:sz w:val="26"/>
          <w:szCs w:val="26"/>
          <w:rtl w:val="0"/>
        </w:rPr>
        <w:t xml:space="preserve"> là thế lực nắm giữ huyết mạch kinh tế của Thái Lan. Tại Thái Lan, </w:t>
      </w:r>
      <w:hyperlink r:id="rId22">
        <w:r w:rsidDel="00000000" w:rsidR="00000000" w:rsidRPr="00000000">
          <w:rPr>
            <w:rFonts w:ascii="Calibri" w:cs="Calibri" w:eastAsia="Calibri" w:hAnsi="Calibri"/>
            <w:color w:val="0000ff"/>
            <w:sz w:val="26"/>
            <w:szCs w:val="26"/>
            <w:u w:val="single"/>
            <w:rtl w:val="0"/>
          </w:rPr>
          <w:t xml:space="preserve">người gốc Hoa</w:t>
        </w:r>
      </w:hyperlink>
      <w:r w:rsidDel="00000000" w:rsidR="00000000" w:rsidRPr="00000000">
        <w:rPr>
          <w:rFonts w:ascii="Calibri" w:cs="Calibri" w:eastAsia="Calibri" w:hAnsi="Calibri"/>
          <w:sz w:val="26"/>
          <w:szCs w:val="26"/>
          <w:rtl w:val="0"/>
        </w:rPr>
        <w:t xml:space="preserve"> chỉ chiếm 14% dân số, nhưng chiếm tới gần 90% vốn của các doanh nghiệp và trên 50% </w:t>
      </w:r>
      <w:hyperlink r:id="rId23">
        <w:r w:rsidDel="00000000" w:rsidR="00000000" w:rsidRPr="00000000">
          <w:rPr>
            <w:rFonts w:ascii="Calibri" w:cs="Calibri" w:eastAsia="Calibri" w:hAnsi="Calibri"/>
            <w:color w:val="0000ff"/>
            <w:sz w:val="26"/>
            <w:szCs w:val="26"/>
            <w:u w:val="single"/>
            <w:rtl w:val="0"/>
          </w:rPr>
          <w:t xml:space="preserve">vốn</w:t>
        </w:r>
      </w:hyperlink>
      <w:r w:rsidDel="00000000" w:rsidR="00000000" w:rsidRPr="00000000">
        <w:rPr>
          <w:rFonts w:ascii="Calibri" w:cs="Calibri" w:eastAsia="Calibri" w:hAnsi="Calibri"/>
          <w:sz w:val="26"/>
          <w:szCs w:val="26"/>
          <w:rtl w:val="0"/>
        </w:rPr>
        <w:t xml:space="preserve"> của ngành ngân hàng. Năm 2000, các ngân hàng và công ty tài chính của người Thái gốc Hoa ở Thái Lan có tài sản tới trên 22,2 tỷ USD, lớn hơn tài sản 21,8 tỷ USD của cả chính phủ và Hoàng gia Thái Lan cộng lại. Người gốc Hoa kiểm soát hầu hết mọi ngành nghề kinh doanh, từ buôn bán nhỏ lẻ đến các ngành công nghiệp lớn ở Thái Lan. Dù chỉ chiếm trên 10% dân số, người gốc Hoa chiếm hơn 4/5 lượng gạo, thiếc, cao su và gỗ xuất khẩu của cả nước, và hầu như toàn bộ hoạt động thương mại, bán buôn và bán lẻ của Thái Lan.</w:t>
      </w:r>
      <w:hyperlink r:id="rId24">
        <w:r w:rsidDel="00000000" w:rsidR="00000000" w:rsidRPr="00000000">
          <w:rPr>
            <w:rFonts w:ascii="Calibri" w:cs="Calibri" w:eastAsia="Calibri" w:hAnsi="Calibri"/>
            <w:color w:val="0000ff"/>
            <w:sz w:val="26"/>
            <w:szCs w:val="26"/>
            <w:u w:val="single"/>
            <w:rtl w:val="0"/>
          </w:rPr>
          <w:t xml:space="preserve">[106]</w:t>
        </w:r>
      </w:hyperlink>
      <w:r w:rsidDel="00000000" w:rsidR="00000000" w:rsidRPr="00000000">
        <w:rPr>
          <w:rFonts w:ascii="Calibri" w:cs="Calibri" w:eastAsia="Calibri" w:hAnsi="Calibri"/>
          <w:sz w:val="26"/>
          <w:szCs w:val="26"/>
          <w:rtl w:val="0"/>
        </w:rPr>
        <w:t xml:space="preserve"> Các chính sách của Thái Lan trong những năm 1930 nhằm trao thêm quyền kinh tế cho phần lớn người Thái bản địa đã thất bại, đến cuối thế kỷ 20 vẫn có hơn 70% cửa hàng bán lẻ và 80–90% các nhà máy xay xát gạo do người gốc Hoa kiểm soát. Một cuộc khảo sát với khoảng 70 tập đoàn kinh doanh quyền lực nhất của Thái Lan cho thấy tất cả ngoại trừ ba tập đoàn đều do người Thái gốc Hoa làm chủ. Năm 1997, người Hoa kiểm soát hơn 80% các công ty đại chúng niêm yết trên Sở Giao dịch Chứng khoán Thái Lan</w:t>
      </w:r>
    </w:p>
    <w:p w:rsidR="00000000" w:rsidDel="00000000" w:rsidP="00000000" w:rsidRDefault="00000000" w:rsidRPr="00000000" w14:paraId="0000004F">
      <w:pPr>
        <w:numPr>
          <w:ilvl w:val="0"/>
          <w:numId w:val="11"/>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Năm mươi gia đình người gốc Hoa kiểm soát toàn bộ lĩnh vực kinh doanh của đất nước, tương đương 81–90% tổng vốn hóa thị trường của nền kinh tế Thái Lan. Hơn 80% trong số 40 người giàu nhất ở Thái Lan là người gốc Hoa hoàn toàn hoặc một phần.Trong những năm 1990, trong số 10 doanh nghiệp hàng đầu của Thái Lan về doanh số, 9 trong số đó thuộc sở hữu của người Hoa, duy nhất Siam Cement không phải là công ty do người Hoa sở hữu Trong số 5 tỷ phú USD ở Thái Lan vào cuối thế kỷ 20, tất cả đều là người gốc Hoa toàn bộ hoặc một phầnNgười Thái Lan bản địa thiếu văn hóa thương mại, và kinh tế khu vực tư nhân hoàn toàn do người gốc Hoa chi phối. Trong số 25 doanh nhân hàng đầu ở Thái Lan, 23 người là người gốc Hoa hoặc một phần gốc Hoa. Người gốc Hoa cũng chiếm 96% trong tổng số 70 tập đoàn kinh tế mạnh nhất Thái Lan 90% lĩnh vực sản xuất của Thái Lan và 50% ngành dịch vụ của Thái Lan do người gốc Hoa kiểm soát.</w:t>
      </w:r>
    </w:p>
    <w:p w:rsidR="00000000" w:rsidDel="00000000" w:rsidP="00000000" w:rsidRDefault="00000000" w:rsidRPr="00000000" w14:paraId="00000050">
      <w:pPr>
        <w:numPr>
          <w:ilvl w:val="0"/>
          <w:numId w:val="11"/>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Chính vì vậy mà quyền lực, sức ảnh hưởng và địa vị của người gốc Hoa ở Thái Lan rất cao. Rất hiều người Thái gốc Hoa từng làm thủ tướng Thái Lan như anh em Thủ tướng nhà </w:t>
      </w:r>
      <w:hyperlink r:id="rId25">
        <w:r w:rsidDel="00000000" w:rsidR="00000000" w:rsidRPr="00000000">
          <w:rPr>
            <w:rFonts w:ascii="Calibri" w:cs="Calibri" w:eastAsia="Calibri" w:hAnsi="Calibri"/>
            <w:color w:val="0000ff"/>
            <w:sz w:val="26"/>
            <w:szCs w:val="26"/>
            <w:u w:val="single"/>
            <w:rtl w:val="0"/>
          </w:rPr>
          <w:t xml:space="preserve">Shinawatra</w:t>
        </w:r>
      </w:hyperlink>
      <w:r w:rsidDel="00000000" w:rsidR="00000000" w:rsidRPr="00000000">
        <w:rPr>
          <w:rFonts w:ascii="Calibri" w:cs="Calibri" w:eastAsia="Calibri" w:hAnsi="Calibri"/>
          <w:sz w:val="26"/>
          <w:szCs w:val="26"/>
          <w:rtl w:val="0"/>
        </w:rPr>
        <w:t xml:space="preserve">, cựu thủ tướng </w:t>
      </w:r>
      <w:hyperlink r:id="rId26">
        <w:r w:rsidDel="00000000" w:rsidR="00000000" w:rsidRPr="00000000">
          <w:rPr>
            <w:rFonts w:ascii="Calibri" w:cs="Calibri" w:eastAsia="Calibri" w:hAnsi="Calibri"/>
            <w:color w:val="0000ff"/>
            <w:sz w:val="26"/>
            <w:szCs w:val="26"/>
            <w:u w:val="single"/>
            <w:rtl w:val="0"/>
          </w:rPr>
          <w:t xml:space="preserve">Abhisit Vejjajiva</w:t>
        </w:r>
      </w:hyperlink>
      <w:r w:rsidDel="00000000" w:rsidR="00000000" w:rsidRPr="00000000">
        <w:rPr>
          <w:rFonts w:ascii="Calibri" w:cs="Calibri" w:eastAsia="Calibri" w:hAnsi="Calibri"/>
          <w:sz w:val="26"/>
          <w:szCs w:val="26"/>
          <w:rtl w:val="0"/>
        </w:rPr>
        <w:t xml:space="preserve">... Người gốc Hoa cũng chiếm một tỷ lệ đáng kể trong bộ máy </w:t>
      </w:r>
      <w:hyperlink r:id="rId27">
        <w:r w:rsidDel="00000000" w:rsidR="00000000" w:rsidRPr="00000000">
          <w:rPr>
            <w:rFonts w:ascii="Calibri" w:cs="Calibri" w:eastAsia="Calibri" w:hAnsi="Calibri"/>
            <w:color w:val="0000ff"/>
            <w:sz w:val="26"/>
            <w:szCs w:val="26"/>
            <w:u w:val="single"/>
            <w:rtl w:val="0"/>
          </w:rPr>
          <w:t xml:space="preserve">chính phủ Thái Lan</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51">
      <w:pPr>
        <w:numPr>
          <w:ilvl w:val="0"/>
          <w:numId w:val="11"/>
        </w:numPr>
        <w:tabs>
          <w:tab w:val="left" w:leader="none" w:pos="709"/>
        </w:tabs>
        <w:spacing w:after="120" w:before="120" w:line="360" w:lineRule="auto"/>
        <w:ind w:left="42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Có thể nói tốc độ già hóa nhanh của dân số đã và đang trở thành một thách thức lớn đối với Thái Lan trong khi kinh tế chưa thực sự thịnh vượng. Cùng với đó, giới phân tích cho rằng, những bất ổn quyền lực kéo dài có thể gây thiệt hại cho nền kinh tế Thái Lan. Bởi, mặc dù đang đối mặt với tình trạng suy giảm mức sinh mạnh song các kế hoạch giải quyết các thách thức của tình trạng này lại không được thực hiện xuyên suốt. Già hóa dân số khiến Thái Lan đứng trước một thách thức nữa khi chi phí chăm sóc sức khỏe tăng cao hơn trong khi mức thu nhập đầu người của Thái Lan hiện chỉ đạt 6.362 USD/năm.</w:t>
      </w:r>
    </w:p>
    <w:p w:rsidR="00000000" w:rsidDel="00000000" w:rsidP="00000000" w:rsidRDefault="00000000" w:rsidRPr="00000000" w14:paraId="00000052">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Nhóm 4: </w:t>
      </w:r>
    </w:p>
    <w:p w:rsidR="00000000" w:rsidDel="00000000" w:rsidP="00000000" w:rsidRDefault="00000000" w:rsidRPr="00000000" w14:paraId="00000053">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Câu 10: Nêu khái quát những nét nổi bật trên lĩnh vực chính trị - ngoại giao của Philippines kể từ khi giành được độc lập cho đến nay?</w:t>
      </w:r>
    </w:p>
    <w:p w:rsidR="00000000" w:rsidDel="00000000" w:rsidP="00000000" w:rsidRDefault="00000000" w:rsidRPr="00000000" w14:paraId="00000054">
      <w:pPr>
        <w:numPr>
          <w:ilvl w:val="0"/>
          <w:numId w:val="2"/>
        </w:numPr>
        <w:tabs>
          <w:tab w:val="left" w:leader="none" w:pos="709"/>
        </w:tabs>
        <w:spacing w:after="120" w:before="120" w:line="360" w:lineRule="auto"/>
        <w:ind w:left="1440" w:firstLine="0"/>
        <w:jc w:val="both"/>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Chính trị</w:t>
      </w:r>
      <w:r w:rsidDel="00000000" w:rsidR="00000000" w:rsidRPr="00000000">
        <w:rPr>
          <w:rtl w:val="0"/>
        </w:rPr>
      </w:r>
    </w:p>
    <w:p w:rsidR="00000000" w:rsidDel="00000000" w:rsidP="00000000" w:rsidRDefault="00000000" w:rsidRPr="00000000" w14:paraId="00000055">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Tên chính thức là nước Cộng Hòa Philippines</w:t>
      </w:r>
    </w:p>
    <w:p w:rsidR="00000000" w:rsidDel="00000000" w:rsidP="00000000" w:rsidRDefault="00000000" w:rsidRPr="00000000" w14:paraId="00000056">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Là một quốc đảo tại Đông Nam Á </w:t>
      </w:r>
    </w:p>
    <w:p w:rsidR="00000000" w:rsidDel="00000000" w:rsidP="00000000" w:rsidRDefault="00000000" w:rsidRPr="00000000" w14:paraId="00000057">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Nằm trên vành đai tra Thái Bình Dương và năm gần xích đạo =&gt;  hay chịu ảnh hưởng từ các trận động đất và bảo nhiệt đới. song lại có nguồn tài nguyên thiên nhiên phong phú và đa dạngsinh học.</w:t>
      </w:r>
    </w:p>
    <w:p w:rsidR="00000000" w:rsidDel="00000000" w:rsidP="00000000" w:rsidRDefault="00000000" w:rsidRPr="00000000" w14:paraId="00000058">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Thủ đô của Philippines là Manila</w:t>
      </w:r>
    </w:p>
    <w:p w:rsidR="00000000" w:rsidDel="00000000" w:rsidP="00000000" w:rsidRDefault="00000000" w:rsidRPr="00000000" w14:paraId="00000059">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Năm 1971: Marcos đã thành lập một Ban soạn thảo Hiến pháp mới: </w:t>
      </w:r>
    </w:p>
    <w:p w:rsidR="00000000" w:rsidDel="00000000" w:rsidP="00000000" w:rsidRDefault="00000000" w:rsidRPr="00000000" w14:paraId="0000005A">
      <w:pPr>
        <w:numPr>
          <w:ilvl w:val="0"/>
          <w:numId w:val="3"/>
        </w:numPr>
        <w:tabs>
          <w:tab w:val="left" w:leader="none" w:pos="709"/>
        </w:tabs>
        <w:spacing w:after="120" w:before="120" w:line="360" w:lineRule="auto"/>
        <w:ind w:left="791"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Marcos trở thành người điều hành đất nước với quyền lực không bị hạn chế và không giới hạn về thời gian.</w:t>
      </w:r>
    </w:p>
    <w:p w:rsidR="00000000" w:rsidDel="00000000" w:rsidP="00000000" w:rsidRDefault="00000000" w:rsidRPr="00000000" w14:paraId="0000005B">
      <w:pPr>
        <w:numPr>
          <w:ilvl w:val="0"/>
          <w:numId w:val="3"/>
        </w:numPr>
        <w:tabs>
          <w:tab w:val="left" w:leader="none" w:pos="709"/>
        </w:tabs>
        <w:spacing w:after="120" w:before="120" w:line="360" w:lineRule="auto"/>
        <w:ind w:left="791"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Trao cho Marcos cả ba quyền lập pháp, hành pháp và tưpháp. </w:t>
      </w:r>
    </w:p>
    <w:p w:rsidR="00000000" w:rsidDel="00000000" w:rsidP="00000000" w:rsidRDefault="00000000" w:rsidRPr="00000000" w14:paraId="0000005C">
      <w:pPr>
        <w:numPr>
          <w:ilvl w:val="0"/>
          <w:numId w:val="3"/>
        </w:numPr>
        <w:tabs>
          <w:tab w:val="left" w:leader="none" w:pos="709"/>
        </w:tabs>
        <w:spacing w:after="120" w:before="120" w:line="360" w:lineRule="auto"/>
        <w:ind w:left="791"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Marcos cho tiến hành ám sát Thượng nghị sĩ Benigno Aquino.</w:t>
      </w:r>
    </w:p>
    <w:p w:rsidR="00000000" w:rsidDel="00000000" w:rsidP="00000000" w:rsidRDefault="00000000" w:rsidRPr="00000000" w14:paraId="0000005D">
      <w:pPr>
        <w:numPr>
          <w:ilvl w:val="0"/>
          <w:numId w:val="3"/>
        </w:numPr>
        <w:tabs>
          <w:tab w:val="left" w:leader="none" w:pos="709"/>
        </w:tabs>
        <w:spacing w:after="120" w:before="120" w:line="360" w:lineRule="auto"/>
        <w:ind w:left="791"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Mỹ ủng hộ bà Corazon Aquino vợ góa của Thượng nghị sĩ Benigno Aquino.</w:t>
      </w:r>
    </w:p>
    <w:p w:rsidR="00000000" w:rsidDel="00000000" w:rsidP="00000000" w:rsidRDefault="00000000" w:rsidRPr="00000000" w14:paraId="0000005E">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- 1946. Tổng thống Mỹ Harry Truman chính thức tuyên bố tro tra độc lập cho Phillipines.</w:t>
      </w:r>
    </w:p>
    <w:p w:rsidR="00000000" w:rsidDel="00000000" w:rsidP="00000000" w:rsidRDefault="00000000" w:rsidRPr="00000000" w14:paraId="0000005F">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Hệ thống chính trị đại nghị, dân chủ với tổng thống giữ vai trò là người đứng đầu nhà nước và chính phủ trong hệ thống đa đăng, đa dạng.</w:t>
      </w:r>
    </w:p>
    <w:p w:rsidR="00000000" w:rsidDel="00000000" w:rsidP="00000000" w:rsidRDefault="00000000" w:rsidRPr="00000000" w14:paraId="00000060">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Đảng chính trị lớn cùng song song tồn tại và cùng chi phối đời sống chính trị ở Philippines, đó là Đảng Dân tộc và Dang Tự do.</w:t>
      </w:r>
    </w:p>
    <w:p w:rsidR="00000000" w:rsidDel="00000000" w:rsidP="00000000" w:rsidRDefault="00000000" w:rsidRPr="00000000" w14:paraId="00000061">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Cả hai Đảng này do liên minh tư sản – địa chủ lãnh đạo. Trong những thập niên 60 và 70, Philippines là nước độc tài quan liêu phân phiệt, gia đình trị thời kỳ Marcos" (1-1966 đến 2-1986).</w:t>
      </w:r>
    </w:p>
    <w:p w:rsidR="00000000" w:rsidDel="00000000" w:rsidP="00000000" w:rsidRDefault="00000000" w:rsidRPr="00000000" w14:paraId="00000062">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Hiến pháp mới (1987):</w:t>
      </w:r>
    </w:p>
    <w:p w:rsidR="00000000" w:rsidDel="00000000" w:rsidP="00000000" w:rsidRDefault="00000000" w:rsidRPr="00000000" w14:paraId="00000063">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Tổng thống được dân bầu trực tiếp với nhiệm kỳ 6 năm * Tổng thống có quyền tuyên bố lệnh giới nghiêm</w:t>
      </w:r>
    </w:p>
    <w:p w:rsidR="00000000" w:rsidDel="00000000" w:rsidP="00000000" w:rsidRDefault="00000000" w:rsidRPr="00000000" w14:paraId="00000064">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Tổng thống là người hoạch định chính sách ngoại giao và đối ngoại cao nhất </w:t>
      </w:r>
    </w:p>
    <w:p w:rsidR="00000000" w:rsidDel="00000000" w:rsidP="00000000" w:rsidRDefault="00000000" w:rsidRPr="00000000" w14:paraId="00000065">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Quốc hội có quyền buộc tội Tổng thống, Phó tổng thống, các thành viên của Tòa án tối cao, thành viên của Uy ban Hiến pháp và Nhân viên kiểm tra vị phạm Hiến pháp, ăn hối lộ, tham nhũng</w:t>
      </w:r>
    </w:p>
    <w:p w:rsidR="00000000" w:rsidDel="00000000" w:rsidP="00000000" w:rsidRDefault="00000000" w:rsidRPr="00000000" w14:paraId="00000066">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Cho phép nhân dẫn được trực tiếp đề nghị luật hoặc phản đối bất kỳ luật nào. kể cả sửa đổi Hiến pháp. </w:t>
      </w:r>
    </w:p>
    <w:p w:rsidR="00000000" w:rsidDel="00000000" w:rsidP="00000000" w:rsidRDefault="00000000" w:rsidRPr="00000000" w14:paraId="00000067">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Giúp ngăn ngừa khả năng tái lập chế độ độc tài ở Philippines.</w:t>
      </w:r>
    </w:p>
    <w:p w:rsidR="00000000" w:rsidDel="00000000" w:rsidP="00000000" w:rsidRDefault="00000000" w:rsidRPr="00000000" w14:paraId="00000068">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Những nét nổi bật:</w:t>
      </w:r>
    </w:p>
    <w:p w:rsidR="00000000" w:rsidDel="00000000" w:rsidP="00000000" w:rsidRDefault="00000000" w:rsidRPr="00000000" w14:paraId="00000069">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i w:val="1"/>
          <w:sz w:val="26"/>
          <w:szCs w:val="26"/>
          <w:rtl w:val="0"/>
        </w:rPr>
        <w:t xml:space="preserve">-Sau 05 năm rơi vào tình trạng lạnh nhạt, quan hệ Mỹ - Philippines đang có dấu hiệu nồng ấm trở lại khi Tổng thống Philippines Rodrigo Duterte quyết định khôi phục Thỏa thuận các lực lượng thăm viếng (VFA) vốn bị hủy bỏ từ tháng 02/2020. Vậy, nguyên nhân quan hệ hai nước bị rạn nứt và việc Philippines quay lại “quỹ đạo” đồng minh với Mỹ ra sao đang là vấn đề được dư luận quan tâm.</w:t>
      </w:r>
      <w:r w:rsidDel="00000000" w:rsidR="00000000" w:rsidRPr="00000000">
        <w:rPr>
          <w:rtl w:val="0"/>
        </w:rPr>
      </w:r>
    </w:p>
    <w:p w:rsidR="00000000" w:rsidDel="00000000" w:rsidP="00000000" w:rsidRDefault="00000000" w:rsidRPr="00000000" w14:paraId="0000006A">
      <w:pPr>
        <w:numPr>
          <w:ilvl w:val="0"/>
          <w:numId w:val="2"/>
        </w:numPr>
        <w:tabs>
          <w:tab w:val="left" w:leader="none" w:pos="709"/>
        </w:tabs>
        <w:spacing w:after="120" w:before="120" w:line="360" w:lineRule="auto"/>
        <w:ind w:left="1440" w:firstLine="0"/>
        <w:jc w:val="both"/>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Đối ngoại </w:t>
      </w:r>
    </w:p>
    <w:p w:rsidR="00000000" w:rsidDel="00000000" w:rsidP="00000000" w:rsidRDefault="00000000" w:rsidRPr="00000000" w14:paraId="0000006B">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 Từ năm 1992, Phi-líp-pin điều chỉnh chính sách đối ngoại với phương châm ngoại giao phục vụ phát triển kinh tế, bắt đầu chú ý đẩy mạnh hơn quan hệ với các  nước láng giềng ở Châu Á - Thái Bình Dương.  </w:t>
      </w:r>
      <w:r w:rsidDel="00000000" w:rsidR="00000000" w:rsidRPr="00000000">
        <w:rPr>
          <w:rtl w:val="0"/>
        </w:rPr>
      </w:r>
    </w:p>
    <w:p w:rsidR="00000000" w:rsidDel="00000000" w:rsidP="00000000" w:rsidRDefault="00000000" w:rsidRPr="00000000" w14:paraId="0000006C">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 Hiện nay, Phi-líp-pin chủ trương hoạch định chính sách đối ngoại theo hướng đa dạng hoá, đa phương hoá. Quan hệ đối ngoại của Philippin được quyết định bởi hai nhân tố là truyền thống và hiệp ước. Philippin coi quan hệ với các nước lớn là cơ sở để đề ra chính sách đối ngoại và chủ trương cư xử khéo léo, tinh tế và linh hoạt đối những vấn đề song phương nhạy cảm giữa các nước lớn để duy trì hoà bình, ổn định ở khu vực Châu Á – Thái Bình Dương.</w:t>
      </w:r>
      <w:r w:rsidDel="00000000" w:rsidR="00000000" w:rsidRPr="00000000">
        <w:rPr>
          <w:rtl w:val="0"/>
        </w:rPr>
      </w:r>
    </w:p>
    <w:p w:rsidR="00000000" w:rsidDel="00000000" w:rsidP="00000000" w:rsidRDefault="00000000" w:rsidRPr="00000000" w14:paraId="0000006D">
      <w:pPr>
        <w:tabs>
          <w:tab w:val="left" w:leader="none" w:pos="709"/>
        </w:tabs>
        <w:spacing w:after="120" w:before="120" w:line="360" w:lineRule="auto"/>
        <w:jc w:val="both"/>
        <w:rPr>
          <w:rFonts w:ascii="Calibri" w:cs="Calibri" w:eastAsia="Calibri" w:hAnsi="Calibri"/>
          <w:b w:val="1"/>
          <w:sz w:val="26"/>
          <w:szCs w:val="26"/>
        </w:rPr>
      </w:pPr>
      <w:r w:rsidDel="00000000" w:rsidR="00000000" w:rsidRPr="00000000">
        <w:rPr>
          <w:rFonts w:ascii="Calibri" w:cs="Calibri" w:eastAsia="Calibri" w:hAnsi="Calibri"/>
          <w:sz w:val="26"/>
          <w:szCs w:val="26"/>
          <w:rtl w:val="0"/>
        </w:rPr>
        <w:t xml:space="preserve">- Phi-líp-pin khẳng định mục tiêu đối ngoại của Phi-líp-pin là bảo đảm an ninh quốc gia và khu vực, tăng cường hợp tác chống khủng bố, bảo đảm lợi ích người Phi-líp-pin ở nước ngoài và tăng cường hợp tác kinh tế. Phi-líp-pin xác định Mỹ, Trung quốc và Nhật Bản là 3 cường quốc có vai trò chi phối đối với an ninh và phát triển ở khu vực đồng thời thực hiện chủ trương ngoại giao linh hoạt vì lợi ích quốc gia. Người phát ngôn của Tổng thống Arroyo nêu vai trò của 3 nước này: "Mỹ là một trong 3 nước, cùng với Trung Quốc và Nhật Bản, Phi-líp-pin coi là 3 đồng minh quan trọng nhất".</w:t>
      </w:r>
      <w:r w:rsidDel="00000000" w:rsidR="00000000" w:rsidRPr="00000000">
        <w:rPr>
          <w:rtl w:val="0"/>
        </w:rPr>
      </w:r>
    </w:p>
    <w:p w:rsidR="00000000" w:rsidDel="00000000" w:rsidP="00000000" w:rsidRDefault="00000000" w:rsidRPr="00000000" w14:paraId="0000006E">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Phi-líp-pin tiếp tục coi trọng ưu tiên quan hệ với các nước ASEAN. Trong hợp tác với các nước ASEAN, Phi-líp-pin tập trung vào các vấn đề hợp tác chống khủng bố, đảm bảo an ninh khu vực kể cả an ninh năng lượng và hợp tác kinh tế. Buôn bán với các nước ASEAN chiếm 16% ngoại thương của Phi-líp-pin. </w:t>
      </w:r>
    </w:p>
    <w:p w:rsidR="00000000" w:rsidDel="00000000" w:rsidP="00000000" w:rsidRDefault="00000000" w:rsidRPr="00000000" w14:paraId="0000006F">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Philippines đang căng thẳng với các bên yêu sách quốc tế đối thủ ở nhiều vùng đất và nước khác nhau trên </w:t>
      </w:r>
      <w:hyperlink r:id="rId28">
        <w:r w:rsidDel="00000000" w:rsidR="00000000" w:rsidRPr="00000000">
          <w:rPr>
            <w:rFonts w:ascii="Calibri" w:cs="Calibri" w:eastAsia="Calibri" w:hAnsi="Calibri"/>
            <w:color w:val="0000ff"/>
            <w:sz w:val="26"/>
            <w:szCs w:val="26"/>
            <w:u w:val="single"/>
            <w:rtl w:val="0"/>
          </w:rPr>
          <w:t xml:space="preserve">Biển Đông</w:t>
        </w:r>
      </w:hyperlink>
      <w:r w:rsidDel="00000000" w:rsidR="00000000" w:rsidRPr="00000000">
        <w:rPr>
          <w:rFonts w:ascii="Calibri" w:cs="Calibri" w:eastAsia="Calibri" w:hAnsi="Calibri"/>
          <w:sz w:val="26"/>
          <w:szCs w:val="26"/>
          <w:rtl w:val="0"/>
        </w:rPr>
        <w:t xml:space="preserve">. Philippines hiện đang tranh chấp với </w:t>
      </w:r>
      <w:hyperlink r:id="rId29">
        <w:r w:rsidDel="00000000" w:rsidR="00000000" w:rsidRPr="00000000">
          <w:rPr>
            <w:rFonts w:ascii="Calibri" w:cs="Calibri" w:eastAsia="Calibri" w:hAnsi="Calibri"/>
            <w:color w:val="0000ff"/>
            <w:sz w:val="26"/>
            <w:szCs w:val="26"/>
            <w:u w:val="single"/>
            <w:rtl w:val="0"/>
          </w:rPr>
          <w:t xml:space="preserve">Cộng hòa Nhân dân Trung Hoa</w:t>
        </w:r>
      </w:hyperlink>
      <w:r w:rsidDel="00000000" w:rsidR="00000000" w:rsidRPr="00000000">
        <w:rPr>
          <w:rFonts w:ascii="Calibri" w:cs="Calibri" w:eastAsia="Calibri" w:hAnsi="Calibri"/>
          <w:sz w:val="26"/>
          <w:szCs w:val="26"/>
          <w:rtl w:val="0"/>
        </w:rPr>
        <w:t xml:space="preserve"> về các mỏ khí Camago và Malampaya. Hai nước cũng đang tranh chấp về </w:t>
      </w:r>
      <w:hyperlink r:id="rId30">
        <w:r w:rsidDel="00000000" w:rsidR="00000000" w:rsidRPr="00000000">
          <w:rPr>
            <w:rFonts w:ascii="Calibri" w:cs="Calibri" w:eastAsia="Calibri" w:hAnsi="Calibri"/>
            <w:color w:val="0000ff"/>
            <w:sz w:val="26"/>
            <w:szCs w:val="26"/>
            <w:u w:val="single"/>
            <w:rtl w:val="0"/>
          </w:rPr>
          <w:t xml:space="preserve">bãi cạn Scarborough</w:t>
        </w:r>
      </w:hyperlink>
      <w:r w:rsidDel="00000000" w:rsidR="00000000" w:rsidRPr="00000000">
        <w:rPr>
          <w:rFonts w:ascii="Calibri" w:cs="Calibri" w:eastAsia="Calibri" w:hAnsi="Calibri"/>
          <w:sz w:val="26"/>
          <w:szCs w:val="26"/>
          <w:rtl w:val="0"/>
        </w:rPr>
        <w:t xml:space="preserve">. Ngoài ra, Philippines có yêu sách tranh chấp đối với </w:t>
      </w:r>
      <w:hyperlink r:id="rId31">
        <w:r w:rsidDel="00000000" w:rsidR="00000000" w:rsidRPr="00000000">
          <w:rPr>
            <w:rFonts w:ascii="Calibri" w:cs="Calibri" w:eastAsia="Calibri" w:hAnsi="Calibri"/>
            <w:color w:val="0000ff"/>
            <w:sz w:val="26"/>
            <w:szCs w:val="26"/>
            <w:u w:val="single"/>
            <w:rtl w:val="0"/>
          </w:rPr>
          <w:t xml:space="preserve">quần đảo Trường Sa</w:t>
        </w:r>
      </w:hyperlink>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70">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Quan hệ với các quốc gia châu Á khác đã được mạnh mẽ. </w:t>
      </w:r>
      <w:hyperlink r:id="rId32">
        <w:r w:rsidDel="00000000" w:rsidR="00000000" w:rsidRPr="00000000">
          <w:rPr>
            <w:rFonts w:ascii="Calibri" w:cs="Calibri" w:eastAsia="Calibri" w:hAnsi="Calibri"/>
            <w:color w:val="0000ff"/>
            <w:sz w:val="26"/>
            <w:szCs w:val="26"/>
            <w:u w:val="single"/>
            <w:rtl w:val="0"/>
          </w:rPr>
          <w:t xml:space="preserve">Nhật Bản</w:t>
        </w:r>
      </w:hyperlink>
      <w:r w:rsidDel="00000000" w:rsidR="00000000" w:rsidRPr="00000000">
        <w:rPr>
          <w:rFonts w:ascii="Calibri" w:cs="Calibri" w:eastAsia="Calibri" w:hAnsi="Calibri"/>
          <w:sz w:val="26"/>
          <w:szCs w:val="26"/>
          <w:rtl w:val="0"/>
        </w:rPr>
        <w:t xml:space="preserve">, một nhà tài trợ viện trợ tích cực, có quan hệ chặt chẽ với nước này. Quan hệ với Trung Quốc gần đây đã được mở rộng, đặc biệt là liên quan đến nền kinh tế. Sự hiện diện của một cộng đồng người nước ngoài lớn của Hàn Quốc đã dẫn đến việc mở rộng quan hệ giữa hai quốc gia. </w:t>
      </w:r>
      <w:hyperlink r:id="rId33">
        <w:r w:rsidDel="00000000" w:rsidR="00000000" w:rsidRPr="00000000">
          <w:rPr>
            <w:rFonts w:ascii="Calibri" w:cs="Calibri" w:eastAsia="Calibri" w:hAnsi="Calibri"/>
            <w:color w:val="0000ff"/>
            <w:sz w:val="26"/>
            <w:szCs w:val="26"/>
            <w:u w:val="single"/>
            <w:rtl w:val="0"/>
          </w:rPr>
          <w:t xml:space="preserve">Ấn Độ</w:t>
        </w:r>
      </w:hyperlink>
      <w:r w:rsidDel="00000000" w:rsidR="00000000" w:rsidRPr="00000000">
        <w:rPr>
          <w:rFonts w:ascii="Calibri" w:cs="Calibri" w:eastAsia="Calibri" w:hAnsi="Calibri"/>
          <w:sz w:val="26"/>
          <w:szCs w:val="26"/>
          <w:rtl w:val="0"/>
        </w:rPr>
        <w:t xml:space="preserve"> cũng là một đối tác quan trọng, cũng như các quốc gia ngoài châu Á như </w:t>
      </w:r>
      <w:hyperlink r:id="rId34">
        <w:r w:rsidDel="00000000" w:rsidR="00000000" w:rsidRPr="00000000">
          <w:rPr>
            <w:rFonts w:ascii="Calibri" w:cs="Calibri" w:eastAsia="Calibri" w:hAnsi="Calibri"/>
            <w:color w:val="0000ff"/>
            <w:sz w:val="26"/>
            <w:szCs w:val="26"/>
            <w:u w:val="single"/>
            <w:rtl w:val="0"/>
          </w:rPr>
          <w:t xml:space="preserve">Úc</w:t>
        </w:r>
      </w:hyperlink>
      <w:r w:rsidDel="00000000" w:rsidR="00000000" w:rsidRPr="00000000">
        <w:rPr>
          <w:rFonts w:ascii="Calibri" w:cs="Calibri" w:eastAsia="Calibri" w:hAnsi="Calibri"/>
          <w:sz w:val="26"/>
          <w:szCs w:val="26"/>
          <w:rtl w:val="0"/>
        </w:rPr>
        <w:t xml:space="preserve">, </w:t>
      </w:r>
      <w:hyperlink r:id="rId35">
        <w:r w:rsidDel="00000000" w:rsidR="00000000" w:rsidRPr="00000000">
          <w:rPr>
            <w:rFonts w:ascii="Calibri" w:cs="Calibri" w:eastAsia="Calibri" w:hAnsi="Calibri"/>
            <w:color w:val="0000ff"/>
            <w:sz w:val="26"/>
            <w:szCs w:val="26"/>
            <w:u w:val="single"/>
            <w:rtl w:val="0"/>
          </w:rPr>
          <w:t xml:space="preserve">México</w:t>
        </w:r>
      </w:hyperlink>
      <w:r w:rsidDel="00000000" w:rsidR="00000000" w:rsidRPr="00000000">
        <w:rPr>
          <w:rFonts w:ascii="Calibri" w:cs="Calibri" w:eastAsia="Calibri" w:hAnsi="Calibri"/>
          <w:sz w:val="26"/>
          <w:szCs w:val="26"/>
          <w:rtl w:val="0"/>
        </w:rPr>
        <w:t xml:space="preserve">, </w:t>
      </w:r>
      <w:hyperlink r:id="rId36">
        <w:r w:rsidDel="00000000" w:rsidR="00000000" w:rsidRPr="00000000">
          <w:rPr>
            <w:rFonts w:ascii="Calibri" w:cs="Calibri" w:eastAsia="Calibri" w:hAnsi="Calibri"/>
            <w:color w:val="0000ff"/>
            <w:sz w:val="26"/>
            <w:szCs w:val="26"/>
            <w:u w:val="single"/>
            <w:rtl w:val="0"/>
          </w:rPr>
          <w:t xml:space="preserve">New Zealand</w:t>
        </w:r>
      </w:hyperlink>
      <w:r w:rsidDel="00000000" w:rsidR="00000000" w:rsidRPr="00000000">
        <w:rPr>
          <w:rFonts w:ascii="Calibri" w:cs="Calibri" w:eastAsia="Calibri" w:hAnsi="Calibri"/>
          <w:sz w:val="26"/>
          <w:szCs w:val="26"/>
          <w:rtl w:val="0"/>
        </w:rPr>
        <w:t xml:space="preserve"> và </w:t>
      </w:r>
      <w:hyperlink r:id="rId37">
        <w:r w:rsidDel="00000000" w:rsidR="00000000" w:rsidRPr="00000000">
          <w:rPr>
            <w:rFonts w:ascii="Calibri" w:cs="Calibri" w:eastAsia="Calibri" w:hAnsi="Calibri"/>
            <w:color w:val="0000ff"/>
            <w:sz w:val="26"/>
            <w:szCs w:val="26"/>
            <w:u w:val="single"/>
            <w:rtl w:val="0"/>
          </w:rPr>
          <w:t xml:space="preserve">Ả Rập Saudi</w:t>
        </w:r>
      </w:hyperlink>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71">
      <w:pPr>
        <w:tabs>
          <w:tab w:val="left" w:leader="none" w:pos="709"/>
        </w:tabs>
        <w:spacing w:after="120" w:before="120"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2">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3">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4">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5">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6">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7">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8">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9">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A">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B">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C">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D">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E">
      <w:pPr>
        <w:tabs>
          <w:tab w:val="left" w:leader="none" w:pos="709"/>
        </w:tabs>
        <w:spacing w:after="120" w:before="120" w:line="360" w:lineRule="auto"/>
        <w:jc w:val="both"/>
        <w:rPr/>
      </w:pPr>
      <w:r w:rsidDel="00000000" w:rsidR="00000000" w:rsidRPr="00000000">
        <w:rPr>
          <w:rtl w:val="0"/>
        </w:rPr>
      </w:r>
    </w:p>
    <w:p w:rsidR="00000000" w:rsidDel="00000000" w:rsidP="00000000" w:rsidRDefault="00000000" w:rsidRPr="00000000" w14:paraId="0000007F">
      <w:pPr>
        <w:tabs>
          <w:tab w:val="left" w:leader="none" w:pos="709"/>
        </w:tabs>
        <w:spacing w:after="120" w:before="120" w:line="360" w:lineRule="auto"/>
        <w:jc w:val="both"/>
        <w:rPr/>
      </w:pP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40" w:top="1440" w:left="1275"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1425"/>
      <w:rPr>
        <w:color w:val="000000"/>
      </w:rPr>
    </w:pPr>
    <w:r w:rsidDel="00000000" w:rsidR="00000000" w:rsidRPr="00000000">
      <w:rPr/>
      <w:drawing>
        <wp:inline distB="114300" distT="114300" distL="114300" distR="114300">
          <wp:extent cx="7852988" cy="1698459"/>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52988" cy="169845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17" w:firstLine="165"/>
      <w:rPr>
        <w:color w:val="000000"/>
      </w:rPr>
    </w:pPr>
    <w:bookmarkStart w:colFirst="0" w:colLast="0" w:name="_heading=h.gjdgxs" w:id="0"/>
    <w:bookmarkEnd w:id="0"/>
    <w:r w:rsidDel="00000000" w:rsidR="00000000" w:rsidRPr="00000000">
      <w:rPr/>
      <w:drawing>
        <wp:inline distB="114300" distT="114300" distL="114300" distR="114300">
          <wp:extent cx="7581525" cy="1495425"/>
          <wp:effectExtent b="0" l="0" r="0" t="0"/>
          <wp:docPr id="3" name="image2.png"/>
          <a:graphic>
            <a:graphicData uri="http://schemas.openxmlformats.org/drawingml/2006/picture">
              <pic:pic>
                <pic:nvPicPr>
                  <pic:cNvPr id="0" name="image2.png"/>
                  <pic:cNvPicPr preferRelativeResize="0"/>
                </pic:nvPicPr>
                <pic:blipFill>
                  <a:blip r:embed="rId1"/>
                  <a:srcRect b="0" l="-504" r="1127" t="9550"/>
                  <a:stretch>
                    <a:fillRect/>
                  </a:stretch>
                </pic:blipFill>
                <pic:spPr>
                  <a:xfrm>
                    <a:off x="0" y="0"/>
                    <a:ext cx="7581525" cy="1495425"/>
                  </a:xfrm>
                  <a:prstGeom prst="rect"/>
                  <a:ln/>
                </pic:spPr>
              </pic:pic>
            </a:graphicData>
          </a:graphic>
        </wp:inline>
      </w:drawing>
    </w:r>
    <w:r w:rsidDel="00000000" w:rsidR="00000000" w:rsidRPr="00000000">
      <w:rPr>
        <w:color w:val="000000"/>
      </w:rPr>
      <w:pict>
        <v:shape id="WordPictureWatermark3" style="position:absolute;width:457.85pt;height:647.599921259842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1" style="position:absolute;width:457.85pt;height:647.599921259842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2" style="position:absolute;width:457.85pt;height:647.599921259842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91" w:hanging="360.00000000000006"/>
      </w:pPr>
      <w:rPr>
        <w:rFonts w:ascii="Noto Sans Symbols" w:cs="Noto Sans Symbols" w:eastAsia="Noto Sans Symbols" w:hAnsi="Noto Sans Symbols"/>
      </w:rPr>
    </w:lvl>
    <w:lvl w:ilvl="1">
      <w:start w:val="1"/>
      <w:numFmt w:val="bullet"/>
      <w:lvlText w:val="o"/>
      <w:lvlJc w:val="left"/>
      <w:pPr>
        <w:ind w:left="1511" w:hanging="360"/>
      </w:pPr>
      <w:rPr>
        <w:rFonts w:ascii="Courier New" w:cs="Courier New" w:eastAsia="Courier New" w:hAnsi="Courier New"/>
      </w:rPr>
    </w:lvl>
    <w:lvl w:ilvl="2">
      <w:start w:val="1"/>
      <w:numFmt w:val="bullet"/>
      <w:lvlText w:val="▪"/>
      <w:lvlJc w:val="left"/>
      <w:pPr>
        <w:ind w:left="2231" w:hanging="360"/>
      </w:pPr>
      <w:rPr>
        <w:rFonts w:ascii="Noto Sans Symbols" w:cs="Noto Sans Symbols" w:eastAsia="Noto Sans Symbols" w:hAnsi="Noto Sans Symbols"/>
      </w:rPr>
    </w:lvl>
    <w:lvl w:ilvl="3">
      <w:start w:val="1"/>
      <w:numFmt w:val="bullet"/>
      <w:lvlText w:val="●"/>
      <w:lvlJc w:val="left"/>
      <w:pPr>
        <w:ind w:left="2951" w:hanging="360"/>
      </w:pPr>
      <w:rPr>
        <w:rFonts w:ascii="Noto Sans Symbols" w:cs="Noto Sans Symbols" w:eastAsia="Noto Sans Symbols" w:hAnsi="Noto Sans Symbols"/>
      </w:rPr>
    </w:lvl>
    <w:lvl w:ilvl="4">
      <w:start w:val="1"/>
      <w:numFmt w:val="bullet"/>
      <w:lvlText w:val="o"/>
      <w:lvlJc w:val="left"/>
      <w:pPr>
        <w:ind w:left="3671" w:hanging="360"/>
      </w:pPr>
      <w:rPr>
        <w:rFonts w:ascii="Courier New" w:cs="Courier New" w:eastAsia="Courier New" w:hAnsi="Courier New"/>
      </w:rPr>
    </w:lvl>
    <w:lvl w:ilvl="5">
      <w:start w:val="1"/>
      <w:numFmt w:val="bullet"/>
      <w:lvlText w:val="▪"/>
      <w:lvlJc w:val="left"/>
      <w:pPr>
        <w:ind w:left="4391" w:hanging="360"/>
      </w:pPr>
      <w:rPr>
        <w:rFonts w:ascii="Noto Sans Symbols" w:cs="Noto Sans Symbols" w:eastAsia="Noto Sans Symbols" w:hAnsi="Noto Sans Symbols"/>
      </w:rPr>
    </w:lvl>
    <w:lvl w:ilvl="6">
      <w:start w:val="1"/>
      <w:numFmt w:val="bullet"/>
      <w:lvlText w:val="●"/>
      <w:lvlJc w:val="left"/>
      <w:pPr>
        <w:ind w:left="5111" w:hanging="360"/>
      </w:pPr>
      <w:rPr>
        <w:rFonts w:ascii="Noto Sans Symbols" w:cs="Noto Sans Symbols" w:eastAsia="Noto Sans Symbols" w:hAnsi="Noto Sans Symbols"/>
      </w:rPr>
    </w:lvl>
    <w:lvl w:ilvl="7">
      <w:start w:val="1"/>
      <w:numFmt w:val="bullet"/>
      <w:lvlText w:val="o"/>
      <w:lvlJc w:val="left"/>
      <w:pPr>
        <w:ind w:left="5831" w:hanging="360"/>
      </w:pPr>
      <w:rPr>
        <w:rFonts w:ascii="Courier New" w:cs="Courier New" w:eastAsia="Courier New" w:hAnsi="Courier New"/>
      </w:rPr>
    </w:lvl>
    <w:lvl w:ilvl="8">
      <w:start w:val="1"/>
      <w:numFmt w:val="bullet"/>
      <w:lvlText w:val="▪"/>
      <w:lvlJc w:val="left"/>
      <w:pPr>
        <w:ind w:left="6551" w:hanging="360"/>
      </w:pPr>
      <w:rPr>
        <w:rFonts w:ascii="Noto Sans Symbols" w:cs="Noto Sans Symbols" w:eastAsia="Noto Sans Symbols" w:hAnsi="Noto Sans Symbols"/>
      </w:rPr>
    </w:lvl>
  </w:abstractNum>
  <w:abstractNum w:abstractNumId="4">
    <w:lvl w:ilvl="0">
      <w:start w:val="1"/>
      <w:numFmt w:val="bullet"/>
      <w:lvlText w:val="❖"/>
      <w:lvlJc w:val="left"/>
      <w:pPr>
        <w:ind w:left="420" w:hanging="420"/>
      </w:pPr>
      <w:rPr>
        <w:rFonts w:ascii="Noto Sans Symbols" w:cs="Noto Sans Symbols" w:eastAsia="Noto Sans Symbols" w:hAnsi="Noto Sans Symbols"/>
        <w:shd w:fill="auto" w:val="clea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color w:val="000000"/>
        <w:shd w:fill="auto" w:val="clea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D77288"/>
    <w:pPr>
      <w:ind w:left="720"/>
      <w:contextualSpacing w:val="1"/>
    </w:pPr>
  </w:style>
  <w:style w:type="character" w:styleId="Hyperlink">
    <w:name w:val="Hyperlink"/>
    <w:basedOn w:val="DefaultParagraphFont"/>
    <w:uiPriority w:val="99"/>
    <w:unhideWhenUsed w:val="1"/>
    <w:rsid w:val="00B94DBB"/>
    <w:rPr>
      <w:color w:val="0000ff" w:themeColor="hyperlink"/>
      <w:u w:val="single"/>
    </w:rPr>
  </w:style>
  <w:style w:type="character" w:styleId="UnresolvedMention">
    <w:name w:val="Unresolved Mention"/>
    <w:basedOn w:val="DefaultParagraphFont"/>
    <w:uiPriority w:val="99"/>
    <w:semiHidden w:val="1"/>
    <w:unhideWhenUsed w:val="1"/>
    <w:rsid w:val="00B94DBB"/>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vi.wikipedia.org/wiki/Th%E1%BB%8B_tr%C6%B0%E1%BB%9Dng" TargetMode="External"/><Relationship Id="rId42" Type="http://schemas.openxmlformats.org/officeDocument/2006/relationships/footer" Target="footer2.xml"/><Relationship Id="rId41" Type="http://schemas.openxmlformats.org/officeDocument/2006/relationships/footer" Target="footer3.xml"/><Relationship Id="rId22" Type="http://schemas.openxmlformats.org/officeDocument/2006/relationships/hyperlink" Target="https://vi.wikipedia.org/wiki/Ng%C6%B0%E1%BB%9Di_g%E1%BB%91c_Hoa" TargetMode="External"/><Relationship Id="rId21" Type="http://schemas.openxmlformats.org/officeDocument/2006/relationships/hyperlink" Target="https://vi.wikipedia.org/wiki/Ng%C6%B0%E1%BB%9Di_g%E1%BB%91c_Hoa" TargetMode="External"/><Relationship Id="rId43" Type="http://schemas.openxmlformats.org/officeDocument/2006/relationships/footer" Target="footer1.xml"/><Relationship Id="rId24" Type="http://schemas.openxmlformats.org/officeDocument/2006/relationships/hyperlink" Target="https://vi.wikipedia.org/wiki/Th%C3%A1i_Lan#cite_note-106" TargetMode="External"/><Relationship Id="rId23" Type="http://schemas.openxmlformats.org/officeDocument/2006/relationships/hyperlink" Target="https://vi.wikipedia.org/wiki/T%C6%B0_b%E1%BA%A3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Bong_b%C3%B3ng_kinh_t%E1%BA%BF" TargetMode="External"/><Relationship Id="rId26" Type="http://schemas.openxmlformats.org/officeDocument/2006/relationships/hyperlink" Target="https://vi.wikipedia.org/wiki/Abhisit_Vejjajiva" TargetMode="External"/><Relationship Id="rId25" Type="http://schemas.openxmlformats.org/officeDocument/2006/relationships/hyperlink" Target="https://en.wikipedia.org/wiki/Shinawatra_family" TargetMode="External"/><Relationship Id="rId28" Type="http://schemas.openxmlformats.org/officeDocument/2006/relationships/hyperlink" Target="https://vi.wikipedia.org/wiki/Bi%E1%BB%83n_%C4%90%C3%B4ng" TargetMode="External"/><Relationship Id="rId27" Type="http://schemas.openxmlformats.org/officeDocument/2006/relationships/hyperlink" Target="https://vi.wikipedia.org/wiki/Ch%C3%ADnh_ph%E1%BB%A7_Th%C3%A1i_La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vi.wikipedia.org/wiki/Trung_Qu%E1%BB%91c" TargetMode="External"/><Relationship Id="rId7" Type="http://schemas.openxmlformats.org/officeDocument/2006/relationships/hyperlink" Target="https://vi.wikipedia.org/wiki/Th%C3%A1i_Lan" TargetMode="External"/><Relationship Id="rId8" Type="http://schemas.openxmlformats.org/officeDocument/2006/relationships/hyperlink" Target="https://vi.wikipedia.org/wiki/S%E1%BB%91_b%C3%ACnh_qu%C3%A2n" TargetMode="External"/><Relationship Id="rId31" Type="http://schemas.openxmlformats.org/officeDocument/2006/relationships/hyperlink" Target="https://vi.wikipedia.org/wiki/Qu%E1%BA%A7n_%C4%91%E1%BA%A3o_Tr%C6%B0%E1%BB%9Dng_Sa" TargetMode="External"/><Relationship Id="rId30" Type="http://schemas.openxmlformats.org/officeDocument/2006/relationships/hyperlink" Target="https://vi.wikipedia.org/wiki/B%C3%A3i_c%E1%BA%A1n_Scarborough" TargetMode="External"/><Relationship Id="rId11" Type="http://schemas.openxmlformats.org/officeDocument/2006/relationships/hyperlink" Target="https://vi.wikipedia.org/wiki/15_th%C3%A1ng_5" TargetMode="External"/><Relationship Id="rId33" Type="http://schemas.openxmlformats.org/officeDocument/2006/relationships/hyperlink" Target="https://vi.wikipedia.org/wiki/%E1%BA%A4n_%C4%90%E1%BB%99" TargetMode="External"/><Relationship Id="rId10" Type="http://schemas.openxmlformats.org/officeDocument/2006/relationships/hyperlink" Target="https://vi.wikipedia.org/wiki/14_th%C3%A1ng_5" TargetMode="External"/><Relationship Id="rId32" Type="http://schemas.openxmlformats.org/officeDocument/2006/relationships/hyperlink" Target="https://vi.wikipedia.org/wiki/Nh%E1%BA%ADt_B%E1%BA%A3n" TargetMode="External"/><Relationship Id="rId13" Type="http://schemas.openxmlformats.org/officeDocument/2006/relationships/hyperlink" Target="https://vi.wikipedia.org/wiki/Baht" TargetMode="External"/><Relationship Id="rId35" Type="http://schemas.openxmlformats.org/officeDocument/2006/relationships/hyperlink" Target="https://vi.wikipedia.org/wiki/M%C3%A9xico" TargetMode="External"/><Relationship Id="rId12" Type="http://schemas.openxmlformats.org/officeDocument/2006/relationships/hyperlink" Target="https://vi.wikipedia.org/wiki/1997" TargetMode="External"/><Relationship Id="rId34" Type="http://schemas.openxmlformats.org/officeDocument/2006/relationships/hyperlink" Target="https://vi.wikipedia.org/wiki/%C3%9Ac" TargetMode="External"/><Relationship Id="rId15" Type="http://schemas.openxmlformats.org/officeDocument/2006/relationships/hyperlink" Target="https://vi.wikipedia.org/wiki/Chavalit_Yongchaiyudh" TargetMode="External"/><Relationship Id="rId37" Type="http://schemas.openxmlformats.org/officeDocument/2006/relationships/hyperlink" Target="https://vi.wikipedia.org/wiki/%E1%BA%A2_R%E1%BA%ADp_X%C3%AA_%C3%9At" TargetMode="External"/><Relationship Id="rId14" Type="http://schemas.openxmlformats.org/officeDocument/2006/relationships/hyperlink" Target="https://vi.wikipedia.org/wiki/30_th%C3%A1ng_6" TargetMode="External"/><Relationship Id="rId36" Type="http://schemas.openxmlformats.org/officeDocument/2006/relationships/hyperlink" Target="https://vi.wikipedia.org/wiki/New_Zealand" TargetMode="External"/><Relationship Id="rId17" Type="http://schemas.openxmlformats.org/officeDocument/2006/relationships/hyperlink" Target="https://vi.wikipedia.org/wiki/Kh%E1%BB%A7ng_ho%E1%BA%A3ng_t%C3%A0i_ch%C3%ADnh_ch%C3%A2u_%C3%81_1997" TargetMode="External"/><Relationship Id="rId39" Type="http://schemas.openxmlformats.org/officeDocument/2006/relationships/header" Target="header3.xml"/><Relationship Id="rId16" Type="http://schemas.openxmlformats.org/officeDocument/2006/relationships/hyperlink" Target="https://vi.wikipedia.org/w/index.php?title=Finance_One&amp;action=edit&amp;redlink=1" TargetMode="External"/><Relationship Id="rId38" Type="http://schemas.openxmlformats.org/officeDocument/2006/relationships/header" Target="header1.xml"/><Relationship Id="rId19" Type="http://schemas.openxmlformats.org/officeDocument/2006/relationships/hyperlink" Target="https://vi.wikipedia.org/wiki/Hoa_K%E1%BB%B3" TargetMode="External"/><Relationship Id="rId18" Type="http://schemas.openxmlformats.org/officeDocument/2006/relationships/hyperlink" Target="https://vi.wikipedia.org/wiki/Xu%E1%BA%A5t_kh%E1%BA%A9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fQgMOYYY0L/cQYDJNr/nRcxqzQ==">CgMxLjAyCGguZ2pkZ3hzOAByITF5TW5CNzNqUVVLclc0X1BvYi1XeEFwaVN3LVJydk14cA==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2024-01-17T09:20:00Z</dcterms:created>
  <dc:creator>ELITE</dc:creator>
</cp:coreProperties>
</file>