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11827"/>
        </w:rPr>
        <w:t>⚖️ Despacho Laboral — Documentación Funcional del Sistema</w:t>
      </w:r>
    </w:p>
    <w:p>
      <w:pPr>
        <w:spacing w:before="80" w:after="80"/>
        <w:ind w:left="340"/>
      </w:pPr>
      <w:r>
        <w:rPr>
          <w:b/>
          <w:i/>
        </w:rPr>
        <w:t>Sistema:</w:t>
      </w:r>
      <w:r>
        <w:rPr>
          <w:i/>
        </w:rPr>
        <w:t xml:space="preserve"> Aplicación web para la gestión de expedientes laborales de un despacho de abogados en Tijuana, México </w:t>
      </w:r>
      <w:r>
        <w:rPr>
          <w:b/>
          <w:i/>
        </w:rPr>
        <w:t>Nombre del producto:</w:t>
      </w:r>
      <w:r>
        <w:rPr>
          <w:i/>
        </w:rPr>
        <w:t xml:space="preserve"> Conciliación Laboral Tijuana — Despacho Laboral </w:t>
      </w:r>
      <w:r>
        <w:rPr>
          <w:b/>
          <w:i/>
        </w:rPr>
        <w:t>Tecnología:</w:t>
      </w:r>
      <w:r>
        <w:rPr>
          <w:i/>
        </w:rPr>
        <w:t xml:space="preserve"> Django 5.x · Tailwind CSS · HTMX · PostgreSQL/SQLite · Celery + Redis · Selenium </w:t>
      </w:r>
      <w:r>
        <w:rPr>
          <w:b/>
          <w:i/>
        </w:rPr>
        <w:t>Última actualización:</w:t>
      </w:r>
      <w:r>
        <w:rPr>
          <w:i/>
        </w:rPr>
        <w:t xml:space="preserve"> Agosto de 2026</w:t>
      </w:r>
    </w:p>
    <w:p>
      <w:pPr>
        <w:spacing w:after="0"/>
      </w:pPr>
    </w:p>
    <w:p>
      <w:pPr>
        <w:pStyle w:val="Heading1"/>
      </w:pPr>
      <w:r>
        <w:rPr>
          <w:color w:val="1A6B3C"/>
        </w:rPr>
        <w:t>1. Qué hace el sistema</w:t>
      </w:r>
    </w:p>
    <w:p>
      <w:r>
        <w:rPr>
          <w:rFonts w:ascii="Consolas" w:hAnsi="Consolas"/>
          <w:sz w:val="18"/>
          <w:shd w:val="clear" w:fill="EEF2FF"/>
        </w:rPr>
        <w:t>Despacho Laboral</w:t>
      </w:r>
      <w:r>
        <w:t xml:space="preserve"> es una </w:t>
      </w:r>
      <w:r>
        <w:rPr>
          <w:b/>
        </w:rPr>
        <w:t>plataforma de gestión de casos (CRM + flujo de trabajo legal)</w:t>
      </w:r>
      <w:r>
        <w:t xml:space="preserve"> para un despacho de abogados laboralistas. Administra el ciclo de vida completo de una reclamación laboral — desde el primer contacto con el cliente, pasando por la etapa de conciliación prejudicial obligatoria ante el *Centro de Conciliación Laboral (CCL)* de Baja California, hasta el acuerdo (convenio) o la presentación de una </w:t>
      </w:r>
      <w:r>
        <w:rPr>
          <w:b/>
        </w:rPr>
        <w:t>demanda laboral</w:t>
      </w:r>
      <w:r>
        <w:t xml:space="preserve"> formal.</w:t>
      </w:r>
    </w:p>
    <w:p>
      <w:r>
        <w:t>Más allá del seguimiento de casos, la plataforma automatiza las partes más repetitivas y propensas a error de la práctica:</w:t>
      </w:r>
    </w:p>
    <w:p>
      <w:pPr>
        <w:pStyle w:val="ListBullet"/>
      </w:pPr>
      <w:r>
        <w:rPr>
          <w:b/>
        </w:rPr>
        <w:t>Cálculo de prestaciones laborales</w:t>
      </w:r>
      <w:r>
        <w:t xml:space="preserve"> (aguinaldo, prima vacacional, prima de antigüedad, indemnización constitucional, etc.) calculados automáticamente conforme a la Ley Federal del Trabajo (LFT).</w:t>
      </w:r>
    </w:p>
    <w:p>
      <w:pPr>
        <w:pStyle w:val="ListBullet"/>
      </w:pPr>
      <w:r>
        <w:rPr>
          <w:b/>
        </w:rPr>
        <w:t>Generación de documentos legales</w:t>
      </w:r>
      <w:r>
        <w:t xml:space="preserve"> a partir de plantillas HTML reutilizables (machotes) con inyección automática de datos.</w:t>
      </w:r>
    </w:p>
    <w:p>
      <w:pPr>
        <w:pStyle w:val="ListBullet"/>
      </w:pPr>
      <w:r>
        <w:rPr>
          <w:b/>
        </w:rPr>
        <w:t>Envío automatizado de solicitudes de conciliación</w:t>
      </w:r>
      <w:r>
        <w:t xml:space="preserve"> al portal oficial del gobierno de BC (</w:t>
      </w:r>
      <w:r>
        <w:rPr>
          <w:rFonts w:ascii="Consolas" w:hAnsi="Consolas"/>
          <w:sz w:val="18"/>
          <w:shd w:val="clear" w:fill="EEF2FF"/>
        </w:rPr>
        <w:t>app.conciliacionbc.gob.mx</w:t>
      </w:r>
      <w:r>
        <w:t>) — tanto del lado del servidor como mediante una extensión de Chrome complementaria.</w:t>
      </w:r>
    </w:p>
    <w:p>
      <w:pPr>
        <w:pStyle w:val="ListBullet"/>
      </w:pPr>
      <w:r>
        <w:rPr>
          <w:b/>
        </w:rPr>
        <w:t>Notificaciones por WhatsApp</w:t>
      </w:r>
      <w:r>
        <w:t xml:space="preserve"> a los clientes (manuales, automáticas por cambio de estado y recordatorios).</w:t>
      </w:r>
    </w:p>
    <w:p>
      <w:pPr>
        <w:pStyle w:val="ListBullet"/>
      </w:pPr>
      <w:r>
        <w:rPr>
          <w:b/>
        </w:rPr>
        <w:t>Un módulo financiero completo</w:t>
      </w:r>
      <w:r>
        <w:t xml:space="preserve"> (pagos, gastos, nómina, comisiones, caja diaria, préstamos entre socios, distribución de utilidades) organizado por oficina y por semana de trabajo.</w:t>
      </w:r>
    </w:p>
    <w:p>
      <w:pPr>
        <w:spacing w:after="0"/>
      </w:pPr>
    </w:p>
    <w:p>
      <w:pPr>
        <w:pStyle w:val="Heading1"/>
      </w:pPr>
      <w:r>
        <w:rPr>
          <w:color w:val="1A6B3C"/>
        </w:rPr>
        <w:t>2. Usuarios, roles y permisos</w:t>
      </w:r>
    </w:p>
    <w:p>
      <w:pPr>
        <w:pStyle w:val="Heading2"/>
      </w:pPr>
      <w:r>
        <w:rPr>
          <w:color w:val="374151"/>
        </w:rPr>
        <w:t>2.1 Roles (5)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fill="1F2937"/>
          </w:tcPr>
          <w:p>
            <w:r/>
            <w:r>
              <w:rPr>
                <w:b/>
                <w:color w:val="FFFFFF"/>
                <w:sz w:val="18"/>
              </w:rPr>
              <w:t>Rol</w:t>
            </w:r>
          </w:p>
        </w:tc>
        <w:tc>
          <w:tcPr>
            <w:tcW w:type="dxa" w:w="3213"/>
            <w:shd w:val="clear" w:fill="1F2937"/>
          </w:tcPr>
          <w:p>
            <w:r/>
            <w:r>
              <w:rPr>
                <w:b/>
                <w:color w:val="FFFFFF"/>
                <w:sz w:val="18"/>
              </w:rPr>
              <w:t>Clave</w:t>
            </w:r>
          </w:p>
        </w:tc>
        <w:tc>
          <w:tcPr>
            <w:tcW w:type="dxa" w:w="3213"/>
            <w:shd w:val="clear" w:fill="1F2937"/>
          </w:tcPr>
          <w:p>
            <w:r/>
            <w:r>
              <w:rPr>
                <w:b/>
                <w:color w:val="FFFFFF"/>
                <w:sz w:val="18"/>
              </w:rPr>
              <w:t>Alcance</w:t>
            </w:r>
          </w:p>
        </w:tc>
      </w:tr>
      <w:tr>
        <w:tc>
          <w:tcPr>
            <w:tcW w:type="dxa" w:w="3213"/>
          </w:tcPr>
          <w:p>
            <w:r/>
            <w:r>
              <w:rPr>
                <w:b/>
                <w:sz w:val="18"/>
              </w:rPr>
              <w:t>Superadmin</w:t>
            </w:r>
          </w:p>
        </w:tc>
        <w:tc>
          <w:tcPr>
            <w:tcW w:type="dxa" w:w="3213"/>
          </w:tcPr>
          <w:p>
            <w:r/>
            <w:r>
              <w:rPr>
                <w:sz w:val="18"/>
              </w:rPr>
              <w:t>superadmin</w:t>
            </w:r>
          </w:p>
        </w:tc>
        <w:tc>
          <w:tcPr>
            <w:tcW w:type="dxa" w:w="3213"/>
          </w:tcPr>
          <w:p>
            <w:r/>
            <w:r>
              <w:rPr>
                <w:sz w:val="18"/>
              </w:rPr>
              <w:t>Acceso total: admin de Django, todos los dashboards, matriz de permisos, gestión de usuarios</w:t>
            </w:r>
          </w:p>
        </w:tc>
      </w:tr>
      <w:tr>
        <w:tc>
          <w:tcPr>
            <w:tcW w:type="dxa" w:w="3213"/>
          </w:tcPr>
          <w:p>
            <w:r/>
            <w:r>
              <w:rPr>
                <w:b/>
                <w:sz w:val="18"/>
              </w:rPr>
              <w:t>Administrativo</w:t>
            </w:r>
          </w:p>
        </w:tc>
        <w:tc>
          <w:tcPr>
            <w:tcW w:type="dxa" w:w="3213"/>
          </w:tcPr>
          <w:p>
            <w:r/>
            <w:r>
              <w:rPr>
                <w:sz w:val="18"/>
              </w:rPr>
              <w:t>admin</w:t>
            </w:r>
          </w:p>
        </w:tc>
        <w:tc>
          <w:tcPr>
            <w:tcW w:type="dxa" w:w="3213"/>
          </w:tcPr>
          <w:p>
            <w:r/>
            <w:r>
              <w:rPr>
                <w:sz w:val="18"/>
              </w:rPr>
              <w:t>Ve todos los casos, reportes de productividad, montos totales, exportaciones a Excel, acceso al admin de Django</w:t>
            </w:r>
          </w:p>
        </w:tc>
      </w:tr>
      <w:tr>
        <w:tc>
          <w:tcPr>
            <w:tcW w:type="dxa" w:w="3213"/>
          </w:tcPr>
          <w:p>
            <w:r/>
            <w:r>
              <w:rPr>
                <w:b/>
                <w:sz w:val="18"/>
              </w:rPr>
              <w:t>Asesor</w:t>
            </w:r>
          </w:p>
        </w:tc>
        <w:tc>
          <w:tcPr>
            <w:tcW w:type="dxa" w:w="3213"/>
          </w:tcPr>
          <w:p>
            <w:r/>
            <w:r>
              <w:rPr>
                <w:sz w:val="18"/>
              </w:rPr>
              <w:t>asesor</w:t>
            </w:r>
          </w:p>
        </w:tc>
        <w:tc>
          <w:tcPr>
            <w:tcW w:type="dxa" w:w="3213"/>
          </w:tcPr>
          <w:p>
            <w:r/>
            <w:r>
              <w:rPr>
                <w:sz w:val="18"/>
              </w:rPr>
              <w:t xml:space="preserve">Solo ve y edita </w:t>
            </w:r>
            <w:r>
              <w:rPr>
                <w:b/>
                <w:sz w:val="18"/>
              </w:rPr>
              <w:t>sus propios</w:t>
            </w:r>
            <w:r>
              <w:rPr>
                <w:sz w:val="18"/>
              </w:rPr>
              <w:t xml:space="preserve"> casos; dashboard personal con estadísticas</w:t>
            </w:r>
          </w:p>
        </w:tc>
      </w:tr>
      <w:tr>
        <w:tc>
          <w:tcPr>
            <w:tcW w:type="dxa" w:w="3213"/>
          </w:tcPr>
          <w:p>
            <w:r/>
            <w:r>
              <w:rPr>
                <w:b/>
                <w:sz w:val="18"/>
              </w:rPr>
              <w:t>Abogada</w:t>
            </w:r>
          </w:p>
        </w:tc>
        <w:tc>
          <w:tcPr>
            <w:tcW w:type="dxa" w:w="3213"/>
          </w:tcPr>
          <w:p>
            <w:r/>
            <w:r>
              <w:rPr>
                <w:sz w:val="18"/>
              </w:rPr>
              <w:t>abogada</w:t>
            </w:r>
          </w:p>
        </w:tc>
        <w:tc>
          <w:tcPr>
            <w:tcW w:type="dxa" w:w="3213"/>
          </w:tcPr>
          <w:p>
            <w:r/>
            <w:r>
              <w:rPr>
                <w:sz w:val="18"/>
              </w:rPr>
              <w:t>Dashboard dedicado para la abogada del despacho (visión general de casos y documentos)</w:t>
            </w:r>
          </w:p>
        </w:tc>
      </w:tr>
      <w:tr>
        <w:tc>
          <w:tcPr>
            <w:tcW w:type="dxa" w:w="3213"/>
          </w:tcPr>
          <w:p>
            <w:r/>
            <w:r>
              <w:rPr>
                <w:b/>
                <w:sz w:val="18"/>
              </w:rPr>
              <w:t>Finanzas</w:t>
            </w:r>
          </w:p>
        </w:tc>
        <w:tc>
          <w:tcPr>
            <w:tcW w:type="dxa" w:w="3213"/>
          </w:tcPr>
          <w:p>
            <w:r/>
            <w:r>
              <w:rPr>
                <w:sz w:val="18"/>
              </w:rPr>
              <w:t>finanzas</w:t>
            </w:r>
          </w:p>
        </w:tc>
        <w:tc>
          <w:tcPr>
            <w:tcW w:type="dxa" w:w="3213"/>
          </w:tcPr>
          <w:p>
            <w:r/>
            <w:r>
              <w:rPr>
                <w:sz w:val="18"/>
              </w:rPr>
              <w:t>Dashboard financiero y acceso al módulo de finanzas (cuenta como admin para permisos)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color w:val="374151"/>
        </w:rPr>
        <w:t>2.2 Capacidades del perfil (`UserProfile`)</w:t>
      </w:r>
    </w:p>
    <w:p>
      <w:r>
        <w:t>Cada perfil de usuario cuenta además con:</w:t>
      </w:r>
    </w:p>
    <w:p>
      <w:pPr>
        <w:pStyle w:val="ListBullet"/>
      </w:pPr>
      <w:r>
        <w:rPr>
          <w:b/>
        </w:rPr>
        <w:t>`puede_generar_documentos`</w:t>
      </w:r>
      <w:r>
        <w:t xml:space="preserve"> — bandera que otorga acceso a los generadores de documentos legales (demanda, machotes, documentos legales). Desactivada por defecto.</w:t>
      </w:r>
    </w:p>
    <w:p>
      <w:pPr>
        <w:pStyle w:val="ListBullet"/>
      </w:pPr>
      <w:r>
        <w:rPr>
          <w:b/>
        </w:rPr>
        <w:t>`api_token`</w:t>
      </w:r>
      <w:r>
        <w:t xml:space="preserve"> — token personal de API que usa la extensión de Chrome para autenticarse contra la API de la aplicación. Se genera automáticamente al crear el perfil y se puede regenerar (invalidando el anterior) desde la página *Extensión de Chrome*.</w:t>
      </w:r>
    </w:p>
    <w:p>
      <w:pPr>
        <w:pStyle w:val="Heading2"/>
      </w:pPr>
      <w:r>
        <w:rPr>
          <w:color w:val="374151"/>
        </w:rPr>
        <w:t>2.3 Auditoría de permisos (`PermisoAuditLog`)</w:t>
      </w:r>
    </w:p>
    <w:p>
      <w:r>
        <w:t xml:space="preserve">Cada vez que un superadmin/admin modifica el rol de un usuario, sus permisos de documentos u otros privilegios, se registra una </w:t>
      </w:r>
      <w:r>
        <w:rPr>
          <w:b/>
        </w:rPr>
        <w:t>entrada de auditoría</w:t>
      </w:r>
      <w:r>
        <w:t>: a quién se modificó, quién lo modificó, la acción (</w:t>
      </w:r>
      <w:r>
        <w:rPr>
          <w:rFonts w:ascii="Consolas" w:hAnsi="Consolas"/>
          <w:sz w:val="18"/>
          <w:shd w:val="clear" w:fill="EEF2FF"/>
        </w:rPr>
        <w:t>cambio_rol</w:t>
      </w:r>
      <w:r>
        <w:t xml:space="preserve">, </w:t>
      </w:r>
      <w:r>
        <w:rPr>
          <w:rFonts w:ascii="Consolas" w:hAnsi="Consolas"/>
          <w:sz w:val="18"/>
          <w:shd w:val="clear" w:fill="EEF2FF"/>
        </w:rPr>
        <w:t>cambio_docs</w:t>
      </w:r>
      <w:r>
        <w:t xml:space="preserve">, </w:t>
      </w:r>
      <w:r>
        <w:rPr>
          <w:rFonts w:ascii="Consolas" w:hAnsi="Consolas"/>
          <w:sz w:val="18"/>
          <w:shd w:val="clear" w:fill="EEF2FF"/>
        </w:rPr>
        <w:t>mixto</w:t>
      </w:r>
      <w:r>
        <w:t xml:space="preserve">) y el detalle (ej: </w:t>
      </w:r>
      <w:r>
        <w:rPr>
          <w:rFonts w:ascii="Consolas" w:hAnsi="Consolas"/>
          <w:sz w:val="18"/>
          <w:shd w:val="clear" w:fill="EEF2FF"/>
        </w:rPr>
        <w:t>Rol: asesor → admin</w:t>
      </w:r>
      <w:r>
        <w:t>).</w:t>
      </w:r>
    </w:p>
    <w:p>
      <w:pPr>
        <w:pStyle w:val="Heading2"/>
      </w:pPr>
      <w:r>
        <w:rPr>
          <w:color w:val="374151"/>
        </w:rPr>
        <w:t>2.4 Módulo de superadmin</w:t>
      </w:r>
    </w:p>
    <w:p>
      <w:pPr>
        <w:pStyle w:val="ListBullet"/>
      </w:pPr>
      <w:r>
        <w:rPr>
          <w:b/>
        </w:rPr>
        <w:t>Dashboard de superadmin</w:t>
      </w:r>
      <w:r>
        <w:t xml:space="preserve"> — panel de administración de la plataforma.</w:t>
      </w:r>
    </w:p>
    <w:p>
      <w:pPr>
        <w:pStyle w:val="ListBullet"/>
      </w:pPr>
      <w:r>
        <w:rPr>
          <w:b/>
        </w:rPr>
        <w:t>Matriz de permisos</w:t>
      </w:r>
      <w:r>
        <w:t xml:space="preserve"> (</w:t>
      </w:r>
      <w:r>
        <w:rPr>
          <w:rFonts w:ascii="Consolas" w:hAnsi="Consolas"/>
          <w:sz w:val="18"/>
          <w:shd w:val="clear" w:fill="EEF2FF"/>
        </w:rPr>
        <w:t>matriz_permisos</w:t>
      </w:r>
      <w:r>
        <w:t xml:space="preserve">) — cuadrícula para gestionar el rol y el permiso de generación de documentos de cada usuario, con </w:t>
      </w:r>
      <w:r>
        <w:rPr>
          <w:b/>
        </w:rPr>
        <w:t>exportación a Excel</w:t>
      </w:r>
      <w:r>
        <w:t>.</w:t>
      </w:r>
    </w:p>
    <w:p>
      <w:pPr>
        <w:pStyle w:val="ListBullet"/>
      </w:pPr>
      <w:r>
        <w:rPr>
          <w:b/>
        </w:rPr>
        <w:t>Cargar datos demo</w:t>
      </w:r>
      <w:r>
        <w:t xml:space="preserve"> — siembra de datos de prueba con un clic (usuarios/casos).</w:t>
      </w:r>
    </w:p>
    <w:p>
      <w:pPr>
        <w:pStyle w:val="Heading2"/>
      </w:pPr>
      <w:r>
        <w:rPr>
          <w:color w:val="374151"/>
        </w:rPr>
        <w:t>2.5 Autenticación y seguridad</w:t>
      </w:r>
    </w:p>
    <w:p>
      <w:pPr>
        <w:pStyle w:val="ListBullet"/>
      </w:pPr>
      <w:r>
        <w:t xml:space="preserve">Inicio/cierre de sesión y flujo completo de </w:t>
      </w:r>
      <w:r>
        <w:rPr>
          <w:b/>
        </w:rPr>
        <w:t>restablecimiento de contraseña</w:t>
      </w:r>
      <w:r>
        <w:t xml:space="preserve"> por correo (SMTP configurable; backend de consola por defecto en desarrollo).</w:t>
      </w:r>
    </w:p>
    <w:p>
      <w:pPr>
        <w:pStyle w:val="ListBullet"/>
      </w:pPr>
      <w:r>
        <w:t>Redirección automática al dashboard correspondiente según el rol tras iniciar sesión.</w:t>
      </w:r>
    </w:p>
    <w:p>
      <w:pPr>
        <w:pStyle w:val="ListBullet"/>
      </w:pPr>
      <w:r>
        <w:t xml:space="preserve">Endurecimiento en producción: redirección HTTPS, cookies seguras, detección automática del dominio de Railway, </w:t>
      </w:r>
      <w:r>
        <w:rPr>
          <w:rFonts w:ascii="Consolas" w:hAnsi="Consolas"/>
          <w:sz w:val="18"/>
          <w:shd w:val="clear" w:fill="EEF2FF"/>
        </w:rPr>
        <w:t>DEBUG</w:t>
      </w:r>
      <w:r>
        <w:t>/</w:t>
      </w:r>
      <w:r>
        <w:rPr>
          <w:rFonts w:ascii="Consolas" w:hAnsi="Consolas"/>
          <w:sz w:val="18"/>
          <w:shd w:val="clear" w:fill="EEF2FF"/>
        </w:rPr>
        <w:t>SECRET_KEY</w:t>
      </w:r>
      <w:r>
        <w:t>/</w:t>
      </w:r>
      <w:r>
        <w:rPr>
          <w:rFonts w:ascii="Consolas" w:hAnsi="Consolas"/>
          <w:sz w:val="18"/>
          <w:shd w:val="clear" w:fill="EEF2FF"/>
        </w:rPr>
        <w:t>ALLOWED_HOSTS</w:t>
      </w:r>
      <w:r>
        <w:t xml:space="preserve"> controlados por entorno.</w:t>
      </w:r>
    </w:p>
    <w:p>
      <w:pPr>
        <w:spacing w:after="0"/>
      </w:pPr>
    </w:p>
    <w:p>
      <w:pPr>
        <w:pStyle w:val="Heading1"/>
      </w:pPr>
      <w:r>
        <w:rPr>
          <w:color w:val="1A6B3C"/>
        </w:rPr>
        <w:t>3. Gestión de casos (Módulo Expedientes)</w:t>
      </w:r>
    </w:p>
    <w:p>
      <w:pPr>
        <w:pStyle w:val="Heading2"/>
      </w:pPr>
      <w:r>
        <w:rPr>
          <w:color w:val="374151"/>
        </w:rPr>
        <w:t>3.1 Clientes (`Cliente`)</w:t>
      </w:r>
    </w:p>
    <w:p>
      <w:r>
        <w:t>Ficha de cliente enriquecida diseñada específicamente para la conciliación laboral:</w:t>
      </w:r>
    </w:p>
    <w:p>
      <w:pPr>
        <w:pStyle w:val="ListBullet"/>
      </w:pPr>
      <w:r>
        <w:rPr>
          <w:b/>
        </w:rPr>
        <w:t>Identidad:</w:t>
      </w:r>
      <w:r>
        <w:t xml:space="preserve"> nombre, </w:t>
      </w:r>
      <w:r>
        <w:rPr>
          <w:b/>
        </w:rPr>
        <w:t>CURP</w:t>
      </w:r>
      <w:r>
        <w:t xml:space="preserve"> (único), RFC, teléfono, WhatsApp, correo, fecha de nacimiento, género.</w:t>
      </w:r>
    </w:p>
    <w:p>
      <w:pPr>
        <w:pStyle w:val="ListBullet"/>
      </w:pPr>
      <w:r>
        <w:rPr>
          <w:b/>
        </w:rPr>
        <w:t>Domicilio particular:</w:t>
      </w:r>
      <w:r>
        <w:t xml:space="preserve"> calle, número, código postal, colonia — se ensambla en </w:t>
      </w:r>
      <w:r>
        <w:rPr>
          <w:rFonts w:ascii="Consolas" w:hAnsi="Consolas"/>
          <w:sz w:val="18"/>
          <w:shd w:val="clear" w:fill="EEF2FF"/>
        </w:rPr>
        <w:t>direccion_completa</w:t>
      </w:r>
      <w:r>
        <w:t>.</w:t>
      </w:r>
    </w:p>
    <w:p>
      <w:pPr>
        <w:pStyle w:val="ListBullet"/>
      </w:pPr>
      <w:r>
        <w:rPr>
          <w:b/>
        </w:rPr>
        <w:t>Datos del patrón:</w:t>
      </w:r>
      <w:r>
        <w:t xml:space="preserve"> empresa, actividad económica, teléfono, razón social, domicilio completo y referencias.</w:t>
      </w:r>
    </w:p>
    <w:p>
      <w:pPr>
        <w:pStyle w:val="ListBullet"/>
      </w:pPr>
      <w:r>
        <w:rPr>
          <w:b/>
        </w:rPr>
        <w:t>Tipo de persona del patrón</w:t>
      </w:r>
      <w:r>
        <w:t xml:space="preserve"> (física / moral) — se usa en el formulario del portal de conciliación.</w:t>
      </w:r>
    </w:p>
    <w:p>
      <w:pPr>
        <w:pStyle w:val="ListBullet"/>
      </w:pPr>
      <w:r>
        <w:rPr>
          <w:b/>
        </w:rPr>
        <w:t>Datos laborales:</w:t>
      </w:r>
      <w:r>
        <w:t xml:space="preserve"> puesto, </w:t>
      </w:r>
      <w:r>
        <w:rPr>
          <w:b/>
        </w:rPr>
        <w:t>salario mensual</w:t>
      </w:r>
      <w:r>
        <w:t>, periodo de pago (diario/semanal/ quincenal/mensual), horas semanales, jornada (diurna/nocturna/mixta), fecha de ingreso, fecha de salida.</w:t>
      </w:r>
    </w:p>
    <w:p>
      <w:pPr>
        <w:pStyle w:val="ListBullet"/>
      </w:pPr>
      <w:r>
        <w:rPr>
          <w:b/>
        </w:rPr>
        <w:t>Fuente de captación:</w:t>
      </w:r>
      <w:r>
        <w:t xml:space="preserve"> cómo se enteró el cliente del despacho (Facebook, Google, recomendación, WhatsApp, TikTok, TV/radio, volante…).</w:t>
      </w:r>
    </w:p>
    <w:p>
      <w:pPr>
        <w:pStyle w:val="ListBullet"/>
      </w:pPr>
      <w:r>
        <w:rPr>
          <w:b/>
        </w:rPr>
        <w:t>Asignación de oficina</w:t>
      </w:r>
      <w:r>
        <w:t xml:space="preserve"> (Plaza Patria, Otay, CLT).</w:t>
      </w:r>
    </w:p>
    <w:p>
      <w:pPr>
        <w:pStyle w:val="ListBullet"/>
      </w:pPr>
      <w:r>
        <w:rPr>
          <w:b/>
        </w:rPr>
        <w:t>Seguimiento de asesoría gratuita:</w:t>
      </w:r>
      <w:r>
        <w:t xml:space="preserve"> si se ofreció la asesoría gratuita semanal, si se agendó y en qué fecha.</w:t>
      </w:r>
    </w:p>
    <w:p>
      <w:pPr>
        <w:pStyle w:val="ListBullet"/>
      </w:pPr>
      <w:r>
        <w:t>Indexado para búsquedas rápidas por CURP, nombre y fecha de asesoría.</w:t>
      </w:r>
    </w:p>
    <w:p>
      <w:pPr>
        <w:pStyle w:val="Heading2"/>
      </w:pPr>
      <w:r>
        <w:rPr>
          <w:color w:val="374151"/>
        </w:rPr>
        <w:t>3.2 Expedientes (`Expediente`)</w:t>
      </w:r>
    </w:p>
    <w:p>
      <w:pPr>
        <w:pStyle w:val="ListBullet"/>
      </w:pPr>
      <w:r>
        <w:rPr>
          <w:b/>
        </w:rPr>
        <w:t>Numeración automática</w:t>
      </w:r>
      <w:r>
        <w:t xml:space="preserve"> </w:t>
      </w:r>
      <w:r>
        <w:rPr>
          <w:rFonts w:ascii="Consolas" w:hAnsi="Consolas"/>
          <w:sz w:val="18"/>
          <w:shd w:val="clear" w:fill="EEF2FF"/>
        </w:rPr>
        <w:t>AAAA-####</w:t>
      </w:r>
      <w:r>
        <w:t xml:space="preserve"> (año + secuencial), única y no editable.</w:t>
      </w:r>
    </w:p>
    <w:p>
      <w:pPr>
        <w:pStyle w:val="ListBullet"/>
      </w:pPr>
      <w:r>
        <w:t xml:space="preserve">Asignado a un </w:t>
      </w:r>
      <w:r>
        <w:rPr>
          <w:b/>
        </w:rPr>
        <w:t>asesor</w:t>
      </w:r>
      <w:r>
        <w:t xml:space="preserve"> (asesor jurídico).</w:t>
      </w:r>
    </w:p>
    <w:p>
      <w:pPr>
        <w:pStyle w:val="ListBullet"/>
      </w:pPr>
      <w:r>
        <w:rPr>
          <w:b/>
        </w:rPr>
        <w:t>Montos:</w:t>
      </w:r>
      <w:r>
        <w:t xml:space="preserve"> monto reclamado (</w:t>
      </w:r>
      <w:r>
        <w:rPr>
          <w:rFonts w:ascii="Consolas" w:hAnsi="Consolas"/>
          <w:sz w:val="18"/>
          <w:shd w:val="clear" w:fill="EEF2FF"/>
        </w:rPr>
        <w:t>monto_reclamado</w:t>
      </w:r>
      <w:r>
        <w:t>) y monto de convenio (</w:t>
      </w:r>
      <w:r>
        <w:rPr>
          <w:rFonts w:ascii="Consolas" w:hAnsi="Consolas"/>
          <w:sz w:val="18"/>
          <w:shd w:val="clear" w:fill="EEF2FF"/>
        </w:rPr>
        <w:t>monto_convenio</w:t>
      </w:r>
      <w:r>
        <w:t>).</w:t>
      </w:r>
    </w:p>
    <w:p>
      <w:pPr>
        <w:pStyle w:val="ListBullet"/>
      </w:pPr>
      <w:r>
        <w:rPr>
          <w:b/>
        </w:rPr>
        <w:t>Programación de audiencias</w:t>
      </w:r>
      <w:r>
        <w:t xml:space="preserve"> con fecha/hora y resultado registrado.</w:t>
      </w:r>
    </w:p>
    <w:p>
      <w:pPr>
        <w:pStyle w:val="ListBullet"/>
      </w:pPr>
      <w:r>
        <w:rPr>
          <w:b/>
        </w:rPr>
        <w:t>Datos de conciliación:</w:t>
      </w:r>
      <w:r>
        <w:t xml:space="preserve"> tipo de despido (justificado/injustificado/voluntario/ rescisión/otro), prestaciones reclamadas, </w:t>
      </w:r>
      <w:r>
        <w:rPr>
          <w:b/>
        </w:rPr>
        <w:t>folio</w:t>
      </w:r>
      <w:r>
        <w:t xml:space="preserve"> y fecha de trámite.</w:t>
      </w:r>
    </w:p>
    <w:p>
      <w:pPr>
        <w:pStyle w:val="ListBullet"/>
      </w:pPr>
      <w:r>
        <w:rPr>
          <w:b/>
        </w:rPr>
        <w:t>Seguimiento:</w:t>
      </w:r>
      <w:r>
        <w:t xml:space="preserve"> fecha de próxima acción, notas internas, prioridad (baja/media/alta).</w:t>
      </w:r>
    </w:p>
    <w:p>
      <w:pPr>
        <w:pStyle w:val="ListBullet"/>
      </w:pPr>
      <w:r>
        <w:rPr>
          <w:b/>
        </w:rPr>
        <w:t>Interruptor de automatización WhatsApp por caso</w:t>
      </w:r>
      <w:r>
        <w:t xml:space="preserve"> (</w:t>
      </w:r>
      <w:r>
        <w:rPr>
          <w:rFonts w:ascii="Consolas" w:hAnsi="Consolas"/>
          <w:sz w:val="18"/>
          <w:shd w:val="clear" w:fill="EEF2FF"/>
        </w:rPr>
        <w:t>notificar_whatsapp_auto</w:t>
      </w:r>
      <w:r>
        <w:t>).</w:t>
      </w:r>
    </w:p>
    <w:p>
      <w:pPr>
        <w:pStyle w:val="Heading2"/>
      </w:pPr>
      <w:r>
        <w:rPr>
          <w:color w:val="374151"/>
        </w:rPr>
        <w:t>Máquina de estados con transiciones validadas</w:t>
      </w:r>
    </w:p>
    <w:p>
      <w:pPr>
        <w:spacing w:before="80" w:after="80"/>
        <w:shd w:val="clear" w:fill="F3F4F6"/>
      </w:pPr>
      <w:r>
        <w:rPr>
          <w:rFonts w:ascii="Consolas" w:hAnsi="Consolas"/>
          <w:sz w:val="17"/>
        </w:rPr>
        <w:t>nuevo → solicitud → citatorio → audiencia → no_notificado ─┐</w:t>
        <w:br/>
      </w:r>
      <w:r>
        <w:rPr>
          <w:rFonts w:ascii="Consolas" w:hAnsi="Consolas"/>
          <w:sz w:val="17"/>
        </w:rPr>
        <w:t xml:space="preserve">                                        ├→ reprogramacion ─┤</w:t>
        <w:br/>
      </w:r>
      <w:r>
        <w:rPr>
          <w:rFonts w:ascii="Consolas" w:hAnsi="Consolas"/>
          <w:sz w:val="17"/>
        </w:rPr>
        <w:t xml:space="preserve">                                        ├→ convenio ───────┤</w:t>
        <w:br/>
      </w:r>
      <w:r>
        <w:rPr>
          <w:rFonts w:ascii="Consolas" w:hAnsi="Consolas"/>
          <w:sz w:val="17"/>
        </w:rPr>
        <w:t xml:space="preserve">                                        ├→ sin_conciliacion─┼→ demanda → audiencia/convenio/cerrado</w:t>
        <w:br/>
      </w:r>
      <w:r>
        <w:rPr>
          <w:rFonts w:ascii="Consolas" w:hAnsi="Consolas"/>
          <w:sz w:val="17"/>
        </w:rPr>
        <w:t xml:space="preserve">                                        └→ cerrado (desde cualquier estado)</w:t>
      </w:r>
    </w:p>
    <w:p>
      <w:r>
        <w:t xml:space="preserve">El modelo </w:t>
      </w:r>
      <w:r>
        <w:rPr>
          <w:b/>
        </w:rPr>
        <w:t>rechaza transiciones ilegales</w:t>
      </w:r>
      <w:r>
        <w:t xml:space="preserve"> (ej. saltar de </w:t>
      </w:r>
      <w:r>
        <w:rPr>
          <w:rFonts w:ascii="Consolas" w:hAnsi="Consolas"/>
          <w:sz w:val="18"/>
          <w:shd w:val="clear" w:fill="EEF2FF"/>
        </w:rPr>
        <w:t>nuevo</w:t>
      </w:r>
      <w:r>
        <w:t xml:space="preserve"> a </w:t>
      </w:r>
      <w:r>
        <w:rPr>
          <w:rFonts w:ascii="Consolas" w:hAnsi="Consolas"/>
          <w:sz w:val="18"/>
          <w:shd w:val="clear" w:fill="EEF2FF"/>
        </w:rPr>
        <w:t>audiencia</w:t>
      </w:r>
      <w:r>
        <w:t>) con un mensaje claro que enumera las transiciones permitidas. Cada estado tiene un color asociado para las insignias de la interfaz.</w:t>
      </w:r>
    </w:p>
    <w:p>
      <w:pPr>
        <w:pStyle w:val="Heading2"/>
      </w:pPr>
      <w:r>
        <w:rPr>
          <w:color w:val="374151"/>
        </w:rPr>
        <w:t>3.3 Documentos (`Documento`)</w:t>
      </w:r>
    </w:p>
    <w:p>
      <w:pPr>
        <w:pStyle w:val="ListBullet"/>
      </w:pPr>
      <w:r>
        <w:t>Subida de PDFs/imágenes por caso con clasificación por tipo (INE, contrato, evidencia, screenshot/captura, citatorio, PDF, otro) y descripción; se registra quién subió y cuándo.</w:t>
      </w:r>
    </w:p>
    <w:p>
      <w:pPr>
        <w:pStyle w:val="ListBullet"/>
      </w:pPr>
      <w:r>
        <w:t>Organizados en disco por año/mes.</w:t>
      </w:r>
    </w:p>
    <w:p>
      <w:pPr>
        <w:pStyle w:val="Heading2"/>
      </w:pPr>
      <w:r>
        <w:rPr>
          <w:color w:val="374151"/>
        </w:rPr>
        <w:t>3.4 Notas e historial de actividad</w:t>
      </w:r>
    </w:p>
    <w:p>
      <w:pPr>
        <w:pStyle w:val="ListBullet"/>
      </w:pPr>
      <w:r>
        <w:rPr>
          <w:b/>
        </w:rPr>
        <w:t>Notas</w:t>
      </w:r>
      <w:r>
        <w:t xml:space="preserve"> — notas libres por caso con autor y fecha.</w:t>
      </w:r>
    </w:p>
    <w:p>
      <w:pPr>
        <w:pStyle w:val="ListBullet"/>
      </w:pPr>
      <w:r>
        <w:rPr>
          <w:b/>
        </w:rPr>
        <w:t>Movimientos</w:t>
      </w:r>
      <w:r>
        <w:t xml:space="preserve"> — rastro de auditoría automático de cada acción: creación, cambio de estado, actualización, subida de documento, nota agregada, resultado de audiencia (quién, cuándo, qué cambió).</w:t>
      </w:r>
    </w:p>
    <w:p>
      <w:pPr>
        <w:pStyle w:val="Heading2"/>
      </w:pPr>
      <w:r>
        <w:rPr>
          <w:color w:val="374151"/>
        </w:rPr>
        <w:t>3.5 Notificaciones (campana)</w:t>
      </w:r>
    </w:p>
    <w:p>
      <w:r>
        <w:t xml:space="preserve">Notificaciones internas para el usuario: transferencias, avisos, mensajes del sistema, recordatorios. Cada notificación puede llevar un enlace; se pueden marcar como leídas individualmente o </w:t>
      </w:r>
      <w:r>
        <w:rPr>
          <w:b/>
        </w:rPr>
        <w:t>todas de una vez</w:t>
      </w:r>
      <w:r>
        <w:t>.</w:t>
      </w:r>
    </w:p>
    <w:p>
      <w:pPr>
        <w:pStyle w:val="Heading2"/>
      </w:pPr>
      <w:r>
        <w:rPr>
          <w:color w:val="374151"/>
        </w:rPr>
        <w:t>3.6 Solicitudes de transferencia entre asesores</w:t>
      </w:r>
    </w:p>
    <w:p>
      <w:r>
        <w:t>Cuando un asesor no puede asistir a una audiencia (conflicto de horario, etc.):</w:t>
      </w:r>
    </w:p>
    <w:p>
      <w:pPr>
        <w:pStyle w:val="ListBullet"/>
      </w:pPr>
      <w:r>
        <w:t xml:space="preserve">Solicita una </w:t>
      </w:r>
      <w:r>
        <w:rPr>
          <w:b/>
        </w:rPr>
        <w:t>transferencia</w:t>
      </w:r>
      <w:r>
        <w:t xml:space="preserve"> del caso, opcionalmente sugiriendo un asesor destino, con un motivo obligatorio.</w:t>
      </w:r>
    </w:p>
    <w:p>
      <w:pPr>
        <w:pStyle w:val="ListBullet"/>
      </w:pPr>
      <w:r>
        <w:t xml:space="preserve">El área administrativa revisa la solicitud, opcionalmente </w:t>
      </w:r>
      <w:r>
        <w:rPr>
          <w:b/>
        </w:rPr>
        <w:t>reasigna</w:t>
      </w:r>
      <w:r>
        <w:t xml:space="preserve"> a otro asesor y aprueba o rechaza con un comentario.</w:t>
      </w:r>
    </w:p>
    <w:p>
      <w:pPr>
        <w:pStyle w:val="ListBullet"/>
      </w:pPr>
      <w:r>
        <w:t>Estados: pendiente → aprobada / rechazada / cancelada. Las notificaciones mantienen informados a todos.</w:t>
      </w:r>
    </w:p>
    <w:p>
      <w:pPr>
        <w:pStyle w:val="Heading2"/>
      </w:pPr>
      <w:r>
        <w:rPr>
          <w:color w:val="374151"/>
        </w:rPr>
        <w:t>3.7 Avisos obligatorios del administrador</w:t>
      </w:r>
    </w:p>
    <w:p>
      <w:pPr>
        <w:pStyle w:val="ListBullet"/>
      </w:pPr>
      <w:r>
        <w:t xml:space="preserve">El administrador crea avisos/pendientes con título, contenido, prioridad y </w:t>
      </w:r>
      <w:r>
        <w:rPr>
          <w:b/>
        </w:rPr>
        <w:t>fecha de vencimiento opcional</w:t>
      </w:r>
      <w:r>
        <w:t xml:space="preserve"> (se ocultan automáticamente al vencer).</w:t>
      </w:r>
    </w:p>
    <w:p>
      <w:pPr>
        <w:pStyle w:val="ListBullet"/>
      </w:pPr>
      <w:r>
        <w:t xml:space="preserve">Se muestran en el dashboard de todos los asesores y administradores; los usuarios pueden marcarlos como </w:t>
      </w:r>
      <w:r>
        <w:rPr>
          <w:b/>
        </w:rPr>
        <w:t>leídos/entendidos</w:t>
      </w:r>
      <w:r>
        <w:t xml:space="preserve"> (se registra por usuario mediante M2M).</w:t>
      </w:r>
    </w:p>
    <w:p>
      <w:pPr>
        <w:pStyle w:val="Heading2"/>
      </w:pPr>
      <w:r>
        <w:rPr>
          <w:color w:val="374151"/>
        </w:rPr>
        <w:t>3.8 Búsqueda global y filtros</w:t>
      </w:r>
    </w:p>
    <w:p>
      <w:pPr>
        <w:pStyle w:val="ListBullet"/>
      </w:pPr>
      <w:r>
        <w:rPr>
          <w:b/>
        </w:rPr>
        <w:t>Búsqueda global</w:t>
      </w:r>
      <w:r>
        <w:t xml:space="preserve"> en expedientes, clientes, folios y empresas.</w:t>
      </w:r>
    </w:p>
    <w:p>
      <w:pPr>
        <w:pStyle w:val="ListBullet"/>
      </w:pPr>
      <w:r>
        <w:t>Filtros avanzados en la lista de expedientes; los asesores solo ven sus propios casos.</w:t>
      </w:r>
    </w:p>
    <w:p>
      <w:pPr>
        <w:pStyle w:val="Heading2"/>
      </w:pPr>
      <w:r>
        <w:rPr>
          <w:color w:val="374151"/>
        </w:rPr>
        <w:t>3.9 Calendario</w:t>
      </w:r>
    </w:p>
    <w:p>
      <w:pPr>
        <w:pStyle w:val="ListBullet"/>
      </w:pPr>
      <w:r>
        <w:rPr>
          <w:b/>
        </w:rPr>
        <w:t>Calendario de audiencias</w:t>
      </w:r>
      <w:r>
        <w:t xml:space="preserve"> (</w:t>
      </w:r>
      <w:r>
        <w:rPr>
          <w:rFonts w:ascii="Consolas" w:hAnsi="Consolas"/>
          <w:sz w:val="18"/>
          <w:shd w:val="clear" w:fill="EEF2FF"/>
        </w:rPr>
        <w:t>calendario</w:t>
      </w:r>
      <w:r>
        <w:t>) que agrega todas las audiencias programadas.</w:t>
      </w:r>
    </w:p>
    <w:p>
      <w:pPr>
        <w:pStyle w:val="Heading2"/>
      </w:pPr>
      <w:r>
        <w:rPr>
          <w:color w:val="374151"/>
        </w:rPr>
        <w:t>3.10 Reportes y exportaciones</w:t>
      </w:r>
    </w:p>
    <w:p>
      <w:pPr>
        <w:pStyle w:val="ListBullet"/>
      </w:pPr>
      <w:r>
        <w:rPr>
          <w:b/>
        </w:rPr>
        <w:t>Exportación a Excel</w:t>
      </w:r>
      <w:r>
        <w:t xml:space="preserve"> de expedientes.</w:t>
      </w:r>
    </w:p>
    <w:p>
      <w:pPr>
        <w:pStyle w:val="ListBullet"/>
      </w:pPr>
      <w:r>
        <w:rPr>
          <w:b/>
        </w:rPr>
        <w:t>Reportes administrativos</w:t>
      </w:r>
      <w:r>
        <w:t xml:space="preserve"> (</w:t>
      </w:r>
      <w:r>
        <w:rPr>
          <w:rFonts w:ascii="Consolas" w:hAnsi="Consolas"/>
          <w:sz w:val="18"/>
          <w:shd w:val="clear" w:fill="EEF2FF"/>
        </w:rPr>
        <w:t>reportes_admin</w:t>
      </w:r>
      <w:r>
        <w:t>) — productividad y totales por asesor.</w:t>
      </w:r>
    </w:p>
    <w:p>
      <w:pPr>
        <w:pStyle w:val="ListBullet"/>
      </w:pPr>
      <w:r>
        <w:rPr>
          <w:b/>
        </w:rPr>
        <w:t>PDF por expediente</w:t>
      </w:r>
      <w:r>
        <w:t xml:space="preserve"> (</w:t>
      </w:r>
      <w:r>
        <w:rPr>
          <w:rFonts w:ascii="Consolas" w:hAnsi="Consolas"/>
          <w:sz w:val="18"/>
          <w:shd w:val="clear" w:fill="EEF2FF"/>
        </w:rPr>
        <w:t>pdf_expediente</w:t>
      </w:r>
      <w:r>
        <w:t>) generado con WeasyPrint.</w:t>
      </w:r>
    </w:p>
    <w:p>
      <w:pPr>
        <w:spacing w:after="0"/>
      </w:pPr>
    </w:p>
    <w:p>
      <w:pPr>
        <w:pStyle w:val="Heading1"/>
      </w:pPr>
      <w:r>
        <w:rPr>
          <w:color w:val="1A6B3C"/>
        </w:rPr>
        <w:t>4. Dashboards (por rol)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fill="1F2937"/>
          </w:tcPr>
          <w:p>
            <w:r/>
            <w:r>
              <w:rPr>
                <w:b/>
                <w:color w:val="FFFFFF"/>
                <w:sz w:val="18"/>
              </w:rPr>
              <w:t>Dashboard</w:t>
            </w:r>
          </w:p>
        </w:tc>
        <w:tc>
          <w:tcPr>
            <w:tcW w:type="dxa" w:w="4819"/>
            <w:shd w:val="clear" w:fill="1F2937"/>
          </w:tcPr>
          <w:p>
            <w:r/>
            <w:r>
              <w:rPr>
                <w:b/>
                <w:color w:val="FFFFFF"/>
                <w:sz w:val="18"/>
              </w:rPr>
              <w:t>Qué muestra</w:t>
            </w:r>
          </w:p>
        </w:tc>
      </w:tr>
      <w:tr>
        <w:tc>
          <w:tcPr>
            <w:tcW w:type="dxa" w:w="4819"/>
          </w:tcPr>
          <w:p>
            <w:r/>
            <w:r>
              <w:rPr>
                <w:b/>
                <w:sz w:val="18"/>
              </w:rPr>
              <w:t>Asesor</w:t>
            </w:r>
          </w:p>
        </w:tc>
        <w:tc>
          <w:tcPr>
            <w:tcW w:type="dxa" w:w="4819"/>
          </w:tcPr>
          <w:p>
            <w:r/>
            <w:r>
              <w:rPr>
                <w:sz w:val="18"/>
              </w:rPr>
              <w:t>KPIs personales, sus casos por estado, próximas acciones/audiencias, tareas pendientes, avisos</w:t>
            </w:r>
          </w:p>
        </w:tc>
      </w:tr>
      <w:tr>
        <w:tc>
          <w:tcPr>
            <w:tcW w:type="dxa" w:w="4819"/>
          </w:tcPr>
          <w:p>
            <w:r/>
            <w:r>
              <w:rPr>
                <w:b/>
                <w:sz w:val="18"/>
              </w:rPr>
              <w:t>Abogada</w:t>
            </w:r>
          </w:p>
        </w:tc>
        <w:tc>
          <w:tcPr>
            <w:tcW w:type="dxa" w:w="4819"/>
          </w:tcPr>
          <w:p>
            <w:r/>
            <w:r>
              <w:rPr>
                <w:sz w:val="18"/>
              </w:rPr>
              <w:t>Vista orientada a la abogada del despacho (casos y documentos)</w:t>
            </w:r>
          </w:p>
        </w:tc>
      </w:tr>
      <w:tr>
        <w:tc>
          <w:tcPr>
            <w:tcW w:type="dxa" w:w="4819"/>
          </w:tcPr>
          <w:p>
            <w:r/>
            <w:r>
              <w:rPr>
                <w:b/>
                <w:sz w:val="18"/>
              </w:rPr>
              <w:t>Admin</w:t>
            </w:r>
          </w:p>
        </w:tc>
        <w:tc>
          <w:tcPr>
            <w:tcW w:type="dxa" w:w="4819"/>
          </w:tcPr>
          <w:p>
            <w:r/>
            <w:r>
              <w:rPr>
                <w:sz w:val="18"/>
              </w:rPr>
              <w:t>Todos los casos, reportes de productividad, montos totales, avisos, acciones de exportación</w:t>
            </w:r>
          </w:p>
        </w:tc>
      </w:tr>
      <w:tr>
        <w:tc>
          <w:tcPr>
            <w:tcW w:type="dxa" w:w="4819"/>
          </w:tcPr>
          <w:p>
            <w:r/>
            <w:r>
              <w:rPr>
                <w:b/>
                <w:sz w:val="18"/>
              </w:rPr>
              <w:t>Finanzas</w:t>
            </w:r>
          </w:p>
        </w:tc>
        <w:tc>
          <w:tcPr>
            <w:tcW w:type="dxa" w:w="4819"/>
          </w:tcPr>
          <w:p>
            <w:r/>
            <w:r>
              <w:rPr>
                <w:sz w:val="18"/>
              </w:rPr>
              <w:t>KPIs financieros (ver módulo de Finanzas)</w:t>
            </w:r>
          </w:p>
        </w:tc>
      </w:tr>
      <w:tr>
        <w:tc>
          <w:tcPr>
            <w:tcW w:type="dxa" w:w="4819"/>
          </w:tcPr>
          <w:p>
            <w:r/>
            <w:r>
              <w:rPr>
                <w:b/>
                <w:sz w:val="18"/>
              </w:rPr>
              <w:t>Superadmin</w:t>
            </w:r>
          </w:p>
        </w:tc>
        <w:tc>
          <w:tcPr>
            <w:tcW w:type="dxa" w:w="4819"/>
          </w:tcPr>
          <w:p>
            <w:r/>
            <w:r>
              <w:rPr>
                <w:sz w:val="18"/>
              </w:rPr>
              <w:t>Panel de administración de la plataforma + matriz de permisos</w:t>
            </w:r>
          </w:p>
        </w:tc>
      </w:tr>
    </w:tbl>
    <w:p>
      <w:pPr>
        <w:spacing w:after="0"/>
      </w:pPr>
    </w:p>
    <w:p>
      <w:pPr>
        <w:spacing w:after="0"/>
      </w:pPr>
    </w:p>
    <w:p>
      <w:pPr>
        <w:pStyle w:val="Heading1"/>
      </w:pPr>
      <w:r>
        <w:rPr>
          <w:color w:val="1A6B3C"/>
        </w:rPr>
        <w:t>5. Motor de Cálculo Laboral (Cálculo Laboral)</w:t>
      </w:r>
    </w:p>
    <w:p>
      <w:pPr>
        <w:pStyle w:val="Heading2"/>
      </w:pPr>
      <w:r>
        <w:rPr>
          <w:color w:val="374151"/>
        </w:rPr>
        <w:t>5.1 Reglas legales configurables (`LegalConfig`)</w:t>
      </w:r>
    </w:p>
    <w:p>
      <w:r>
        <w:t xml:space="preserve">Todos los parámetros legales viven en un objeto </w:t>
      </w:r>
      <w:r>
        <w:rPr>
          <w:rFonts w:ascii="Consolas" w:hAnsi="Consolas"/>
          <w:sz w:val="18"/>
          <w:shd w:val="clear" w:fill="EEF2FF"/>
        </w:rPr>
        <w:t>ReglasLegales</w:t>
      </w:r>
      <w:r>
        <w:t xml:space="preserve"> (</w:t>
      </w:r>
      <w:r>
        <w:rPr>
          <w:rFonts w:ascii="Consolas" w:hAnsi="Consolas"/>
          <w:sz w:val="18"/>
          <w:shd w:val="clear" w:fill="EEF2FF"/>
        </w:rPr>
        <w:t>core/laboral/rules.py</w:t>
      </w:r>
      <w:r>
        <w:t xml:space="preserve">) que se construye desde la fila de </w:t>
      </w:r>
      <w:r>
        <w:rPr>
          <w:rFonts w:ascii="Consolas" w:hAnsi="Consolas"/>
          <w:sz w:val="18"/>
          <w:shd w:val="clear" w:fill="EEF2FF"/>
        </w:rPr>
        <w:t>LegalConfig</w:t>
      </w:r>
      <w:r>
        <w:t xml:space="preserve"> guardada en la base de datos y editable desde el admin de Django — </w:t>
      </w:r>
      <w:r>
        <w:rPr>
          <w:b/>
        </w:rPr>
        <w:t>sin necesidad de tocar código cuando cambian las leyes</w:t>
      </w:r>
      <w:r>
        <w:t xml:space="preserve"> (</w:t>
      </w:r>
      <w:r>
        <w:rPr>
          <w:rFonts w:ascii="Consolas" w:hAnsi="Consolas"/>
          <w:sz w:val="18"/>
          <w:shd w:val="clear" w:fill="EEF2FF"/>
        </w:rPr>
        <w:t>LegalConfig.to_reglas()</w:t>
      </w:r>
      <w:r>
        <w:t xml:space="preserve"> es el puente):</w:t>
      </w:r>
    </w:p>
    <w:p>
      <w:pPr>
        <w:pStyle w:val="ListBullet"/>
      </w:pPr>
      <w:r>
        <w:rPr>
          <w:b/>
        </w:rPr>
        <w:t>UMA</w:t>
      </w:r>
      <w:r>
        <w:t xml:space="preserve"> diaria (2026: $117.31), salario mínimo general ($315.04) y </w:t>
      </w:r>
      <w:r>
        <w:rPr>
          <w:b/>
        </w:rPr>
        <w:t>salario mínimo de la Zona Libre de la Frontera Norte</w:t>
      </w:r>
      <w:r>
        <w:t xml:space="preserve"> ($440.87; Tijuana está en la ZLFN).</w:t>
      </w:r>
    </w:p>
    <w:p>
      <w:pPr>
        <w:pStyle w:val="ListBullet"/>
      </w:pPr>
      <w:r>
        <w:rPr>
          <w:b/>
        </w:rPr>
        <w:t>Días de aguinaldo</w:t>
      </w:r>
      <w:r>
        <w:t xml:space="preserve"> (mínimo legal: 15).</w:t>
      </w:r>
    </w:p>
    <w:p>
      <w:pPr>
        <w:pStyle w:val="ListBullet"/>
      </w:pPr>
      <w:r>
        <w:rPr>
          <w:b/>
        </w:rPr>
        <w:t>% de prima vacacional</w:t>
      </w:r>
      <w:r>
        <w:t xml:space="preserve"> (mínimo 25%).</w:t>
      </w:r>
    </w:p>
    <w:p>
      <w:pPr>
        <w:pStyle w:val="ListBullet"/>
      </w:pPr>
      <w:r>
        <w:rPr>
          <w:b/>
        </w:rPr>
        <w:t>Prima de antigüedad:</w:t>
      </w:r>
      <w:r>
        <w:t xml:space="preserve"> días por año (12) y </w:t>
      </w:r>
      <w:r>
        <w:rPr>
          <w:b/>
        </w:rPr>
        <w:t>tope = 2 × salario mínimo del área geográfica</w:t>
      </w:r>
      <w:r>
        <w:t xml:space="preserve"> (arts. 485/486 LFT): frontera $881.74 · general $630.08. </w:t>
      </w:r>
      <w:r>
        <w:rPr>
          <w:b/>
        </w:rPr>
        <w:t>No es 2 × UMA</w:t>
      </w:r>
      <w:r>
        <w:t xml:space="preserve"> ($234.62), que era el error anterior.</w:t>
      </w:r>
    </w:p>
    <w:p>
      <w:pPr>
        <w:pStyle w:val="ListBullet"/>
      </w:pPr>
      <w:r>
        <w:rPr>
          <w:b/>
        </w:rPr>
        <w:t>Días de indemnización</w:t>
      </w:r>
      <w:r>
        <w:t xml:space="preserve"> (3 meses = 90) y </w:t>
      </w:r>
      <w:r>
        <w:rPr>
          <w:b/>
        </w:rPr>
        <w:t>20 días por año</w:t>
      </w:r>
      <w:r>
        <w:t xml:space="preserve"> (art. 50 fr. II).</w:t>
      </w:r>
    </w:p>
    <w:p>
      <w:pPr>
        <w:pStyle w:val="ListBullet"/>
      </w:pPr>
      <w:r>
        <w:rPr>
          <w:b/>
        </w:rPr>
        <w:t>Criterio de vacaciones antes del primer año</w:t>
      </w:r>
      <w:r>
        <w:t xml:space="preserve"> (proporcional / ninguna).</w:t>
      </w:r>
    </w:p>
    <w:p>
      <w:pPr>
        <w:pStyle w:val="ListBullet"/>
      </w:pPr>
      <w:r>
        <w:rPr>
          <w:b/>
        </w:rPr>
        <w:t>Modo de salario integrado</w:t>
      </w:r>
      <w:r>
        <w:t xml:space="preserve"> (por conceptos del art. 84 o por porcentaje).</w:t>
      </w:r>
    </w:p>
    <w:p>
      <w:pPr>
        <w:pStyle w:val="ListBullet"/>
      </w:pPr>
      <w:r>
        <w:rPr>
          <w:b/>
        </w:rPr>
        <w:t>Años exigidos para prima de antigüedad en renuncia voluntaria</w:t>
      </w:r>
      <w:r>
        <w:t xml:space="preserve"> (15, art. 162 fr. III).</w:t>
      </w:r>
    </w:p>
    <w:p>
      <w:pPr>
        <w:pStyle w:val="ListBullet"/>
      </w:pPr>
      <w:r>
        <w:t>Solo una configuración puede estar *activa* a la vez; al guardar una se desactivan las demás.</w:t>
      </w:r>
    </w:p>
    <w:p>
      <w:pPr>
        <w:pStyle w:val="Heading2"/>
      </w:pPr>
      <w:r>
        <w:rPr>
          <w:color w:val="374151"/>
        </w:rPr>
        <w:t>5.1b Tablas graduales (reforma DOF 01-05-2026)</w:t>
      </w:r>
    </w:p>
    <w:p>
      <w:r>
        <w:t xml:space="preserve">La reducción de la jornada es </w:t>
      </w:r>
      <w:r>
        <w:rPr>
          <w:b/>
        </w:rPr>
        <w:t>gradual</w:t>
      </w:r>
      <w:r>
        <w:t>, así que se modela por año y no como constante: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fill="1F2937"/>
          </w:tcPr>
          <w:p>
            <w:r/>
            <w:r>
              <w:rPr>
                <w:b/>
                <w:color w:val="FFFFFF"/>
                <w:sz w:val="18"/>
              </w:rPr>
              <w:t>Año</w:t>
            </w:r>
          </w:p>
        </w:tc>
        <w:tc>
          <w:tcPr>
            <w:tcW w:type="dxa" w:w="3213"/>
            <w:shd w:val="clear" w:fill="1F2937"/>
          </w:tcPr>
          <w:p>
            <w:r/>
            <w:r>
              <w:rPr>
                <w:b/>
                <w:color w:val="FFFFFF"/>
                <w:sz w:val="18"/>
              </w:rPr>
              <w:t>Jornada ordinaria máx. semanal (art. 59 + transitorio Segundo)</w:t>
            </w:r>
          </w:p>
        </w:tc>
        <w:tc>
          <w:tcPr>
            <w:tcW w:type="dxa" w:w="3213"/>
            <w:shd w:val="clear" w:fill="1F2937"/>
          </w:tcPr>
          <w:p>
            <w:r/>
            <w:r>
              <w:rPr>
                <w:b/>
                <w:color w:val="FFFFFF"/>
                <w:sz w:val="18"/>
              </w:rPr>
              <w:t>Horas al doble máx. por semana (art. 66 + transitorio Cuarto)</w:t>
            </w:r>
          </w:p>
        </w:tc>
      </w:tr>
      <w:tr>
        <w:tc>
          <w:tcPr>
            <w:tcW w:type="dxa" w:w="3213"/>
          </w:tcPr>
          <w:p>
            <w:r/>
            <w:r>
              <w:rPr>
                <w:sz w:val="18"/>
              </w:rPr>
              <w:t>2026</w:t>
            </w:r>
          </w:p>
        </w:tc>
        <w:tc>
          <w:tcPr>
            <w:tcW w:type="dxa" w:w="3213"/>
          </w:tcPr>
          <w:p>
            <w:r/>
            <w:r>
              <w:rPr>
                <w:sz w:val="18"/>
              </w:rPr>
              <w:t>48</w:t>
            </w:r>
          </w:p>
        </w:tc>
        <w:tc>
          <w:tcPr>
            <w:tcW w:type="dxa" w:w="3213"/>
          </w:tcPr>
          <w:p>
            <w:r/>
            <w:r>
              <w:rPr>
                <w:sz w:val="18"/>
              </w:rPr>
              <w:t>9</w:t>
            </w:r>
          </w:p>
        </w:tc>
      </w:tr>
      <w:tr>
        <w:tc>
          <w:tcPr>
            <w:tcW w:type="dxa" w:w="3213"/>
          </w:tcPr>
          <w:p>
            <w:r/>
            <w:r>
              <w:rPr>
                <w:sz w:val="18"/>
              </w:rPr>
              <w:t>2027</w:t>
            </w:r>
          </w:p>
        </w:tc>
        <w:tc>
          <w:tcPr>
            <w:tcW w:type="dxa" w:w="3213"/>
          </w:tcPr>
          <w:p>
            <w:r/>
            <w:r>
              <w:rPr>
                <w:sz w:val="18"/>
              </w:rPr>
              <w:t>46</w:t>
            </w:r>
          </w:p>
        </w:tc>
        <w:tc>
          <w:tcPr>
            <w:tcW w:type="dxa" w:w="3213"/>
          </w:tcPr>
          <w:p>
            <w:r/>
            <w:r>
              <w:rPr>
                <w:sz w:val="18"/>
              </w:rPr>
              <w:t>9</w:t>
            </w:r>
          </w:p>
        </w:tc>
      </w:tr>
      <w:tr>
        <w:tc>
          <w:tcPr>
            <w:tcW w:type="dxa" w:w="3213"/>
          </w:tcPr>
          <w:p>
            <w:r/>
            <w:r>
              <w:rPr>
                <w:sz w:val="18"/>
              </w:rPr>
              <w:t>2028</w:t>
            </w:r>
          </w:p>
        </w:tc>
        <w:tc>
          <w:tcPr>
            <w:tcW w:type="dxa" w:w="3213"/>
          </w:tcPr>
          <w:p>
            <w:r/>
            <w:r>
              <w:rPr>
                <w:sz w:val="18"/>
              </w:rPr>
              <w:t>44</w:t>
            </w:r>
          </w:p>
        </w:tc>
        <w:tc>
          <w:tcPr>
            <w:tcW w:type="dxa" w:w="3213"/>
          </w:tcPr>
          <w:p>
            <w:r/>
            <w:r>
              <w:rPr>
                <w:sz w:val="18"/>
              </w:rPr>
              <w:t>10</w:t>
            </w:r>
          </w:p>
        </w:tc>
      </w:tr>
      <w:tr>
        <w:tc>
          <w:tcPr>
            <w:tcW w:type="dxa" w:w="3213"/>
          </w:tcPr>
          <w:p>
            <w:r/>
            <w:r>
              <w:rPr>
                <w:sz w:val="18"/>
              </w:rPr>
              <w:t>2029</w:t>
            </w:r>
          </w:p>
        </w:tc>
        <w:tc>
          <w:tcPr>
            <w:tcW w:type="dxa" w:w="3213"/>
          </w:tcPr>
          <w:p>
            <w:r/>
            <w:r>
              <w:rPr>
                <w:sz w:val="18"/>
              </w:rPr>
              <w:t>42</w:t>
            </w:r>
          </w:p>
        </w:tc>
        <w:tc>
          <w:tcPr>
            <w:tcW w:type="dxa" w:w="3213"/>
          </w:tcPr>
          <w:p>
            <w:r/>
            <w:r>
              <w:rPr>
                <w:sz w:val="18"/>
              </w:rPr>
              <w:t>11</w:t>
            </w:r>
          </w:p>
        </w:tc>
      </w:tr>
      <w:tr>
        <w:tc>
          <w:tcPr>
            <w:tcW w:type="dxa" w:w="3213"/>
          </w:tcPr>
          <w:p>
            <w:r/>
            <w:r>
              <w:rPr>
                <w:sz w:val="18"/>
              </w:rPr>
              <w:t>2030</w:t>
            </w:r>
          </w:p>
        </w:tc>
        <w:tc>
          <w:tcPr>
            <w:tcW w:type="dxa" w:w="3213"/>
          </w:tcPr>
          <w:p>
            <w:r/>
            <w:r>
              <w:rPr>
                <w:sz w:val="18"/>
              </w:rPr>
              <w:t>40</w:t>
            </w:r>
          </w:p>
        </w:tc>
        <w:tc>
          <w:tcPr>
            <w:tcW w:type="dxa" w:w="3213"/>
          </w:tcPr>
          <w:p>
            <w:r/>
            <w:r>
              <w:rPr>
                <w:sz w:val="18"/>
              </w:rPr>
              <w:t>12</w:t>
            </w:r>
          </w:p>
        </w:tc>
      </w:tr>
    </w:tbl>
    <w:p>
      <w:pPr>
        <w:spacing w:after="0"/>
      </w:pPr>
    </w:p>
    <w:p>
      <w:r>
        <w:t xml:space="preserve">Lo que excede el límite del art. 66 se paga al triple (art. 68) con un máximo de </w:t>
      </w:r>
      <w:r>
        <w:rPr>
          <w:b/>
        </w:rPr>
        <w:t>4 horas extra por semana</w:t>
      </w:r>
      <w:r>
        <w:t>; la jornada ordinaria más la extraordinaria nunca puede exceder 12 horas diarias.</w:t>
      </w:r>
    </w:p>
    <w:p>
      <w:pPr>
        <w:pStyle w:val="Heading2"/>
      </w:pPr>
      <w:r>
        <w:rPr>
          <w:color w:val="374151"/>
        </w:rPr>
        <w:t>5.2 Modelo temporal de la relación laboral (`PeriodoLaboral`)</w:t>
      </w:r>
    </w:p>
    <w:p>
      <w:r>
        <w:t xml:space="preserve">Cada concepto ya no comparte una misma cifra de "días trabajados". </w:t>
      </w:r>
      <w:r>
        <w:rPr>
          <w:rFonts w:ascii="Consolas" w:hAnsi="Consolas"/>
          <w:sz w:val="18"/>
          <w:shd w:val="clear" w:fill="EEF2FF"/>
        </w:rPr>
        <w:t>core/laboral/periodo.py</w:t>
      </w:r>
      <w:r>
        <w:t xml:space="preserve"> descompone la relación en el periodo que exige cada artículo:</w:t>
      </w:r>
    </w:p>
    <w:p>
      <w:pPr>
        <w:spacing w:before="80" w:after="80"/>
        <w:shd w:val="clear" w:fill="F3F4F6"/>
      </w:pPr>
      <w:r>
        <w:rPr>
          <w:rFonts w:ascii="Consolas" w:hAnsi="Consolas"/>
          <w:sz w:val="17"/>
        </w:rPr>
        <w:t>RELACIÓN LABORAL</w:t>
        <w:br/>
      </w:r>
      <w:r>
        <w:rPr>
          <w:rFonts w:ascii="Consolas" w:hAnsi="Consolas"/>
          <w:sz w:val="17"/>
        </w:rPr>
        <w:t>├── antigüedad exacta (aniversarios cumplidos, bisiesto-aware) + fracción del ciclo</w:t>
        <w:br/>
      </w:r>
      <w:r>
        <w:rPr>
          <w:rFonts w:ascii="Consolas" w:hAnsi="Consolas"/>
          <w:sz w:val="17"/>
        </w:rPr>
        <w:t>├── aniversario vigente / próximo aniversario</w:t>
        <w:br/>
      </w:r>
      <w:r>
        <w:rPr>
          <w:rFonts w:ascii="Consolas" w:hAnsi="Consolas"/>
          <w:sz w:val="17"/>
        </w:rPr>
        <w:t>├── días del AÑO CALENDARIO en curso  → aguinaldo (art. 87)</w:t>
        <w:br/>
      </w:r>
      <w:r>
        <w:rPr>
          <w:rFonts w:ascii="Consolas" w:hAnsi="Consolas"/>
          <w:sz w:val="17"/>
        </w:rPr>
        <w:t>├── ciclos de vacaciones (uno por año de servicio) → arts. 76 y 81</w:t>
        <w:br/>
      </w:r>
      <w:r>
        <w:rPr>
          <w:rFonts w:ascii="Consolas" w:hAnsi="Consolas"/>
          <w:sz w:val="17"/>
        </w:rPr>
        <w:t>│   ├── derecho del último año cumplido, no disfrutado</w:t>
        <w:br/>
      </w:r>
      <w:r>
        <w:rPr>
          <w:rFonts w:ascii="Consolas" w:hAnsi="Consolas"/>
          <w:sz w:val="17"/>
        </w:rPr>
        <w:t>│   └── proporcional del ciclo en curso</w:t>
        <w:br/>
      </w:r>
      <w:r>
        <w:rPr>
          <w:rFonts w:ascii="Consolas" w:hAnsi="Consolas"/>
          <w:sz w:val="17"/>
        </w:rPr>
        <w:t>└── semanas trabajadas → topes de horas extra (arts. 66 y 68)</w:t>
      </w:r>
    </w:p>
    <w:p>
      <w:r>
        <w:t>Consecuencias:</w:t>
      </w:r>
    </w:p>
    <w:p>
      <w:pPr>
        <w:pStyle w:val="ListBullet"/>
      </w:pPr>
      <w:r>
        <w:rPr>
          <w:b/>
        </w:rPr>
        <w:t>El aguinaldo</w:t>
      </w:r>
      <w:r>
        <w:t xml:space="preserve"> es proporcional a los días trabajados </w:t>
      </w:r>
      <w:r>
        <w:rPr>
          <w:b/>
        </w:rPr>
        <w:t>del año calendario en curso</w:t>
      </w:r>
      <w:r>
        <w:t>, no a toda la antigüedad (art. 87: "conforme al tiempo que hubieren trabajado"). Un trabajador con 5 años despedido el 15 de septiembre de 2026 cobra 258/365, no 5 años de aguinaldo.</w:t>
      </w:r>
    </w:p>
    <w:p>
      <w:pPr>
        <w:pStyle w:val="ListBullet"/>
      </w:pPr>
      <w:r>
        <w:rPr>
          <w:b/>
        </w:rPr>
        <w:t>Las vacaciones</w:t>
      </w:r>
      <w:r>
        <w:t xml:space="preserve"> se calculan por ciclo de aniversario: el derecho del último año completado </w:t>
      </w:r>
      <w:r>
        <w:rPr>
          <w:b/>
        </w:rPr>
        <w:t>más</w:t>
      </w:r>
      <w:r>
        <w:t xml:space="preserve"> la parte proporcional del año en curso. La proporcionalidad se aplica </w:t>
      </w:r>
      <w:r>
        <w:rPr>
          <w:b/>
        </w:rPr>
        <w:t>una sola vez</w:t>
      </w:r>
      <w:r>
        <w:t xml:space="preserve"> (antes se aplicaba dos veces, dejando los días al cuadrado).</w:t>
      </w:r>
    </w:p>
    <w:p>
      <w:pPr>
        <w:pStyle w:val="ListBullet"/>
      </w:pPr>
      <w:r>
        <w:rPr>
          <w:b/>
        </w:rPr>
        <w:t>La antigüedad</w:t>
      </w:r>
      <w:r>
        <w:t xml:space="preserve"> se mide por aniversarios cumplidos, no con </w:t>
      </w:r>
      <w:r>
        <w:rPr>
          <w:rFonts w:ascii="Consolas" w:hAnsi="Consolas"/>
          <w:sz w:val="18"/>
          <w:shd w:val="clear" w:fill="EEF2FF"/>
        </w:rPr>
        <w:t>días / 365</w:t>
      </w:r>
      <w:r>
        <w:t>: los años bisiestos no distorsionan y quien termina justo en su aniversario da una cifra exacta.</w:t>
      </w:r>
    </w:p>
    <w:p>
      <w:pPr>
        <w:pStyle w:val="Heading2"/>
      </w:pPr>
      <w:r>
        <w:rPr>
          <w:color w:val="374151"/>
        </w:rPr>
        <w:t>5.3 Tabla de vacaciones (Reforma LFT 2022)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</w:tblGrid>
      <w:tr>
        <w:tc>
          <w:tcPr>
            <w:tcW w:type="dxa" w:w="876"/>
            <w:shd w:val="clear" w:fill="1F2937"/>
          </w:tcPr>
          <w:p>
            <w:r/>
            <w:r>
              <w:rPr>
                <w:b/>
                <w:color w:val="FFFFFF"/>
                <w:sz w:val="18"/>
              </w:rPr>
              <w:t>Años de servicio</w:t>
            </w:r>
          </w:p>
        </w:tc>
        <w:tc>
          <w:tcPr>
            <w:tcW w:type="dxa" w:w="876"/>
            <w:shd w:val="clear" w:fill="1F2937"/>
          </w:tcPr>
          <w:p>
            <w:r/>
            <w:r>
              <w:rPr>
                <w:b/>
                <w:color w:val="FFFFFF"/>
                <w:sz w:val="18"/>
              </w:rPr>
              <w:t>1</w:t>
            </w:r>
          </w:p>
        </w:tc>
        <w:tc>
          <w:tcPr>
            <w:tcW w:type="dxa" w:w="876"/>
            <w:shd w:val="clear" w:fill="1F2937"/>
          </w:tcPr>
          <w:p>
            <w:r/>
            <w:r>
              <w:rPr>
                <w:b/>
                <w:color w:val="FFFFFF"/>
                <w:sz w:val="18"/>
              </w:rPr>
              <w:t>2</w:t>
            </w:r>
          </w:p>
        </w:tc>
        <w:tc>
          <w:tcPr>
            <w:tcW w:type="dxa" w:w="876"/>
            <w:shd w:val="clear" w:fill="1F2937"/>
          </w:tcPr>
          <w:p>
            <w:r/>
            <w:r>
              <w:rPr>
                <w:b/>
                <w:color w:val="FFFFFF"/>
                <w:sz w:val="18"/>
              </w:rPr>
              <w:t>3</w:t>
            </w:r>
          </w:p>
        </w:tc>
        <w:tc>
          <w:tcPr>
            <w:tcW w:type="dxa" w:w="876"/>
            <w:shd w:val="clear" w:fill="1F2937"/>
          </w:tcPr>
          <w:p>
            <w:r/>
            <w:r>
              <w:rPr>
                <w:b/>
                <w:color w:val="FFFFFF"/>
                <w:sz w:val="18"/>
              </w:rPr>
              <w:t>4</w:t>
            </w:r>
          </w:p>
        </w:tc>
        <w:tc>
          <w:tcPr>
            <w:tcW w:type="dxa" w:w="876"/>
            <w:shd w:val="clear" w:fill="1F2937"/>
          </w:tcPr>
          <w:p>
            <w:r/>
            <w:r>
              <w:rPr>
                <w:b/>
                <w:color w:val="FFFFFF"/>
                <w:sz w:val="18"/>
              </w:rPr>
              <w:t>5</w:t>
            </w:r>
          </w:p>
        </w:tc>
        <w:tc>
          <w:tcPr>
            <w:tcW w:type="dxa" w:w="876"/>
            <w:shd w:val="clear" w:fill="1F2937"/>
          </w:tcPr>
          <w:p>
            <w:r/>
            <w:r>
              <w:rPr>
                <w:b/>
                <w:color w:val="FFFFFF"/>
                <w:sz w:val="18"/>
              </w:rPr>
              <w:t>6-10</w:t>
            </w:r>
          </w:p>
        </w:tc>
        <w:tc>
          <w:tcPr>
            <w:tcW w:type="dxa" w:w="876"/>
            <w:shd w:val="clear" w:fill="1F2937"/>
          </w:tcPr>
          <w:p>
            <w:r/>
            <w:r>
              <w:rPr>
                <w:b/>
                <w:color w:val="FFFFFF"/>
                <w:sz w:val="18"/>
              </w:rPr>
              <w:t>11-15</w:t>
            </w:r>
          </w:p>
        </w:tc>
        <w:tc>
          <w:tcPr>
            <w:tcW w:type="dxa" w:w="876"/>
            <w:shd w:val="clear" w:fill="1F2937"/>
          </w:tcPr>
          <w:p>
            <w:r/>
            <w:r>
              <w:rPr>
                <w:b/>
                <w:color w:val="FFFFFF"/>
                <w:sz w:val="18"/>
              </w:rPr>
              <w:t>16-20</w:t>
            </w:r>
          </w:p>
        </w:tc>
        <w:tc>
          <w:tcPr>
            <w:tcW w:type="dxa" w:w="876"/>
            <w:shd w:val="clear" w:fill="1F2937"/>
          </w:tcPr>
          <w:p>
            <w:r/>
            <w:r>
              <w:rPr>
                <w:b/>
                <w:color w:val="FFFFFF"/>
                <w:sz w:val="18"/>
              </w:rPr>
              <w:t>21-25</w:t>
            </w:r>
          </w:p>
        </w:tc>
        <w:tc>
          <w:tcPr>
            <w:tcW w:type="dxa" w:w="876"/>
            <w:shd w:val="clear" w:fill="1F2937"/>
          </w:tcPr>
          <w:p>
            <w:r/>
            <w:r>
              <w:rPr>
                <w:b/>
                <w:color w:val="FFFFFF"/>
                <w:sz w:val="18"/>
              </w:rPr>
              <w:t>26-30</w:t>
            </w:r>
          </w:p>
        </w:tc>
      </w:tr>
      <w:tr>
        <w:tc>
          <w:tcPr>
            <w:tcW w:type="dxa" w:w="876"/>
          </w:tcPr>
          <w:p>
            <w:r/>
            <w:r>
              <w:rPr>
                <w:sz w:val="18"/>
              </w:rPr>
              <w:t>Días</w:t>
            </w:r>
          </w:p>
        </w:tc>
        <w:tc>
          <w:tcPr>
            <w:tcW w:type="dxa" w:w="876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876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876"/>
          </w:tcPr>
          <w:p>
            <w:r/>
            <w:r>
              <w:rPr>
                <w:sz w:val="18"/>
              </w:rPr>
              <w:t>16</w:t>
            </w:r>
          </w:p>
        </w:tc>
        <w:tc>
          <w:tcPr>
            <w:tcW w:type="dxa" w:w="876"/>
          </w:tcPr>
          <w:p>
            <w:r/>
            <w:r>
              <w:rPr>
                <w:sz w:val="18"/>
              </w:rPr>
              <w:t>18</w:t>
            </w:r>
          </w:p>
        </w:tc>
        <w:tc>
          <w:tcPr>
            <w:tcW w:type="dxa" w:w="876"/>
          </w:tcPr>
          <w:p>
            <w:r/>
            <w:r>
              <w:rPr>
                <w:sz w:val="18"/>
              </w:rPr>
              <w:t>20</w:t>
            </w:r>
          </w:p>
        </w:tc>
        <w:tc>
          <w:tcPr>
            <w:tcW w:type="dxa" w:w="876"/>
          </w:tcPr>
          <w:p>
            <w:r/>
            <w:r>
              <w:rPr>
                <w:sz w:val="18"/>
              </w:rPr>
              <w:t>22</w:t>
            </w:r>
          </w:p>
        </w:tc>
        <w:tc>
          <w:tcPr>
            <w:tcW w:type="dxa" w:w="876"/>
          </w:tcPr>
          <w:p>
            <w:r/>
            <w:r>
              <w:rPr>
                <w:sz w:val="18"/>
              </w:rPr>
              <w:t>24</w:t>
            </w:r>
          </w:p>
        </w:tc>
        <w:tc>
          <w:tcPr>
            <w:tcW w:type="dxa" w:w="876"/>
          </w:tcPr>
          <w:p>
            <w:r/>
            <w:r>
              <w:rPr>
                <w:sz w:val="18"/>
              </w:rPr>
              <w:t>26</w:t>
            </w:r>
          </w:p>
        </w:tc>
        <w:tc>
          <w:tcPr>
            <w:tcW w:type="dxa" w:w="876"/>
          </w:tcPr>
          <w:p>
            <w:r/>
            <w:r>
              <w:rPr>
                <w:sz w:val="18"/>
              </w:rPr>
              <w:t>28</w:t>
            </w:r>
          </w:p>
        </w:tc>
        <w:tc>
          <w:tcPr>
            <w:tcW w:type="dxa" w:w="876"/>
          </w:tcPr>
          <w:p>
            <w:r/>
            <w:r>
              <w:rPr>
                <w:sz w:val="18"/>
              </w:rPr>
              <w:t>30</w:t>
            </w:r>
          </w:p>
        </w:tc>
      </w:tr>
    </w:tbl>
    <w:p>
      <w:pPr>
        <w:spacing w:after="0"/>
      </w:pPr>
    </w:p>
    <w:p>
      <w:r>
        <w:t xml:space="preserve">Antes del primer aniversario el derecho es 0 bajo el criterio mayoritario (el art. 76 exige "más de un año de servicios"); el criterio </w:t>
      </w:r>
      <w:r>
        <w:rPr>
          <w:rFonts w:ascii="Consolas" w:hAnsi="Consolas"/>
          <w:sz w:val="18"/>
          <w:shd w:val="clear" w:fill="EEF2FF"/>
        </w:rPr>
        <w:t>proporcional</w:t>
      </w:r>
      <w:r>
        <w:t xml:space="preserve"> también está disponible y es configurable por caso.</w:t>
      </w:r>
    </w:p>
    <w:p>
      <w:pPr>
        <w:pStyle w:val="Heading2"/>
      </w:pPr>
      <w:r>
        <w:rPr>
          <w:color w:val="374151"/>
        </w:rPr>
        <w:t>5.3 Conceptos calculados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fill="1F2937"/>
          </w:tcPr>
          <w:p>
            <w:r/>
            <w:r>
              <w:rPr>
                <w:b/>
                <w:color w:val="FFFFFF"/>
                <w:sz w:val="18"/>
              </w:rPr>
              <w:t>Concepto</w:t>
            </w:r>
          </w:p>
        </w:tc>
        <w:tc>
          <w:tcPr>
            <w:tcW w:type="dxa" w:w="2409"/>
            <w:shd w:val="clear" w:fill="1F2937"/>
          </w:tcPr>
          <w:p>
            <w:r/>
            <w:r>
              <w:rPr>
                <w:b/>
                <w:color w:val="FFFFFF"/>
                <w:sz w:val="18"/>
              </w:rPr>
              <w:t>Artículo</w:t>
            </w:r>
          </w:p>
        </w:tc>
        <w:tc>
          <w:tcPr>
            <w:tcW w:type="dxa" w:w="2409"/>
            <w:shd w:val="clear" w:fill="1F2937"/>
          </w:tcPr>
          <w:p>
            <w:r/>
            <w:r>
              <w:rPr>
                <w:b/>
                <w:color w:val="FFFFFF"/>
                <w:sz w:val="18"/>
              </w:rPr>
              <w:t>Tipo</w:t>
            </w:r>
          </w:p>
        </w:tc>
        <w:tc>
          <w:tcPr>
            <w:tcW w:type="dxa" w:w="2409"/>
            <w:shd w:val="clear" w:fill="1F2937"/>
          </w:tcPr>
          <w:p>
            <w:r/>
            <w:r>
              <w:rPr>
                <w:b/>
                <w:color w:val="FFFFFF"/>
                <w:sz w:val="18"/>
              </w:rPr>
              <w:t>Base de cálculo</w:t>
            </w:r>
          </w:p>
        </w:tc>
      </w:tr>
      <w:tr>
        <w:tc>
          <w:tcPr>
            <w:tcW w:type="dxa" w:w="2409"/>
          </w:tcPr>
          <w:p>
            <w:r/>
            <w:r>
              <w:rPr>
                <w:sz w:val="18"/>
              </w:rPr>
              <w:t>Aguinaldo proporcional</w:t>
            </w:r>
          </w:p>
        </w:tc>
        <w:tc>
          <w:tcPr>
            <w:tcW w:type="dxa" w:w="2409"/>
          </w:tcPr>
          <w:p>
            <w:r/>
            <w:r>
              <w:rPr>
                <w:sz w:val="18"/>
              </w:rPr>
              <w:t>Art. 87 LFT</w:t>
            </w:r>
          </w:p>
        </w:tc>
        <w:tc>
          <w:tcPr>
            <w:tcW w:type="dxa" w:w="2409"/>
          </w:tcPr>
          <w:p>
            <w:r/>
            <w:r>
              <w:rPr>
                <w:sz w:val="18"/>
              </w:rPr>
              <w:t>automático</w:t>
            </w:r>
          </w:p>
        </w:tc>
        <w:tc>
          <w:tcPr>
            <w:tcW w:type="dxa" w:w="2409"/>
          </w:tcPr>
          <w:p>
            <w:r/>
            <w:r>
              <w:rPr>
                <w:sz w:val="18"/>
              </w:rPr>
              <w:t>días del año calendario en curso</w:t>
            </w:r>
          </w:p>
        </w:tc>
      </w:tr>
      <w:tr>
        <w:tc>
          <w:tcPr>
            <w:tcW w:type="dxa" w:w="2409"/>
          </w:tcPr>
          <w:p>
            <w:r/>
            <w:r>
              <w:rPr>
                <w:sz w:val="18"/>
              </w:rPr>
              <w:t>Vacaciones (año cumplido + proporcional)</w:t>
            </w:r>
          </w:p>
        </w:tc>
        <w:tc>
          <w:tcPr>
            <w:tcW w:type="dxa" w:w="2409"/>
          </w:tcPr>
          <w:p>
            <w:r/>
            <w:r>
              <w:rPr>
                <w:sz w:val="18"/>
              </w:rPr>
              <w:t>Arts. 76 y 81 LFT</w:t>
            </w:r>
          </w:p>
        </w:tc>
        <w:tc>
          <w:tcPr>
            <w:tcW w:type="dxa" w:w="2409"/>
          </w:tcPr>
          <w:p>
            <w:r/>
            <w:r>
              <w:rPr>
                <w:sz w:val="18"/>
              </w:rPr>
              <w:t>automático</w:t>
            </w:r>
          </w:p>
        </w:tc>
        <w:tc>
          <w:tcPr>
            <w:tcW w:type="dxa" w:w="2409"/>
          </w:tcPr>
          <w:p>
            <w:r/>
            <w:r>
              <w:rPr>
                <w:sz w:val="18"/>
              </w:rPr>
              <w:t>ciclo de aniversario</w:t>
            </w:r>
          </w:p>
        </w:tc>
      </w:tr>
      <w:tr>
        <w:tc>
          <w:tcPr>
            <w:tcW w:type="dxa" w:w="2409"/>
          </w:tcPr>
          <w:p>
            <w:r/>
            <w:r>
              <w:rPr>
                <w:sz w:val="18"/>
              </w:rPr>
              <w:t>Prima vacacional</w:t>
            </w:r>
          </w:p>
        </w:tc>
        <w:tc>
          <w:tcPr>
            <w:tcW w:type="dxa" w:w="2409"/>
          </w:tcPr>
          <w:p>
            <w:r/>
            <w:r>
              <w:rPr>
                <w:sz w:val="18"/>
              </w:rPr>
              <w:t>Art. 80 LFT</w:t>
            </w:r>
          </w:p>
        </w:tc>
        <w:tc>
          <w:tcPr>
            <w:tcW w:type="dxa" w:w="2409"/>
          </w:tcPr>
          <w:p>
            <w:r/>
            <w:r>
              <w:rPr>
                <w:sz w:val="18"/>
              </w:rPr>
              <w:t>automático</w:t>
            </w:r>
          </w:p>
        </w:tc>
        <w:tc>
          <w:tcPr>
            <w:tcW w:type="dxa" w:w="2409"/>
          </w:tcPr>
          <w:p>
            <w:r/>
            <w:r>
              <w:rPr>
                <w:sz w:val="18"/>
              </w:rPr>
              <w:t>25% de las vacaciones</w:t>
            </w:r>
          </w:p>
        </w:tc>
      </w:tr>
      <w:tr>
        <w:tc>
          <w:tcPr>
            <w:tcW w:type="dxa" w:w="2409"/>
          </w:tcPr>
          <w:p>
            <w:r/>
            <w:r>
              <w:rPr>
                <w:sz w:val="18"/>
              </w:rPr>
              <w:t>Prima de antigüedad (con piso y tope de zona)</w:t>
            </w:r>
          </w:p>
        </w:tc>
        <w:tc>
          <w:tcPr>
            <w:tcW w:type="dxa" w:w="2409"/>
          </w:tcPr>
          <w:p>
            <w:r/>
            <w:r>
              <w:rPr>
                <w:sz w:val="18"/>
              </w:rPr>
              <w:t>Arts. 162, 485 y 486 LFT</w:t>
            </w:r>
          </w:p>
        </w:tc>
        <w:tc>
          <w:tcPr>
            <w:tcW w:type="dxa" w:w="2409"/>
          </w:tcPr>
          <w:p>
            <w:r/>
            <w:r>
              <w:rPr>
                <w:sz w:val="18"/>
              </w:rPr>
              <w:t>según tipo de despido</w:t>
            </w:r>
          </w:p>
        </w:tc>
        <w:tc>
          <w:tcPr>
            <w:tcW w:type="dxa" w:w="2409"/>
          </w:tcPr>
          <w:p>
            <w:r/>
            <w:r>
              <w:rPr>
                <w:sz w:val="18"/>
              </w:rPr>
              <w:t>salario diario con piso/techo del área</w:t>
            </w:r>
          </w:p>
        </w:tc>
      </w:tr>
      <w:tr>
        <w:tc>
          <w:tcPr>
            <w:tcW w:type="dxa" w:w="2409"/>
          </w:tcPr>
          <w:p>
            <w:r/>
            <w:r>
              <w:rPr>
                <w:sz w:val="18"/>
              </w:rPr>
              <w:t>Indemnización constitucional (90 días)</w:t>
            </w:r>
          </w:p>
        </w:tc>
        <w:tc>
          <w:tcPr>
            <w:tcW w:type="dxa" w:w="2409"/>
          </w:tcPr>
          <w:p>
            <w:r/>
            <w:r>
              <w:rPr>
                <w:sz w:val="18"/>
              </w:rPr>
              <w:t>Art. 50 fr. III LFT</w:t>
            </w:r>
          </w:p>
        </w:tc>
        <w:tc>
          <w:tcPr>
            <w:tcW w:type="dxa" w:w="2409"/>
          </w:tcPr>
          <w:p>
            <w:r/>
            <w:r>
              <w:rPr>
                <w:sz w:val="18"/>
              </w:rPr>
              <w:t>según tipo de despido</w:t>
            </w:r>
          </w:p>
        </w:tc>
        <w:tc>
          <w:tcPr>
            <w:tcW w:type="dxa" w:w="2409"/>
          </w:tcPr>
          <w:p>
            <w:r/>
            <w:r>
              <w:rPr>
                <w:b/>
                <w:sz w:val="18"/>
              </w:rPr>
              <w:t>salario diario integrado</w:t>
            </w:r>
          </w:p>
        </w:tc>
      </w:tr>
      <w:tr>
        <w:tc>
          <w:tcPr>
            <w:tcW w:type="dxa" w:w="2409"/>
          </w:tcPr>
          <w:p>
            <w:r/>
            <w:r>
              <w:rPr>
                <w:sz w:val="18"/>
              </w:rPr>
              <w:t>Indemnización 20 días por año</w:t>
            </w:r>
          </w:p>
        </w:tc>
        <w:tc>
          <w:tcPr>
            <w:tcW w:type="dxa" w:w="2409"/>
          </w:tcPr>
          <w:p>
            <w:r/>
            <w:r>
              <w:rPr>
                <w:sz w:val="18"/>
              </w:rPr>
              <w:t>Art. 50 fr. II LFT</w:t>
            </w:r>
          </w:p>
        </w:tc>
        <w:tc>
          <w:tcPr>
            <w:tcW w:type="dxa" w:w="2409"/>
          </w:tcPr>
          <w:p>
            <w:r/>
            <w:r>
              <w:rPr>
                <w:sz w:val="18"/>
              </w:rPr>
              <w:t>según tipo de despido</w:t>
            </w:r>
          </w:p>
        </w:tc>
        <w:tc>
          <w:tcPr>
            <w:tcW w:type="dxa" w:w="2409"/>
          </w:tcPr>
          <w:p>
            <w:r/>
            <w:r>
              <w:rPr>
                <w:b/>
                <w:sz w:val="18"/>
              </w:rPr>
              <w:t>salario diario integrado</w:t>
            </w:r>
          </w:p>
        </w:tc>
      </w:tr>
      <w:tr>
        <w:tc>
          <w:tcPr>
            <w:tcW w:type="dxa" w:w="2409"/>
          </w:tcPr>
          <w:p>
            <w:r/>
            <w:r>
              <w:rPr>
                <w:sz w:val="18"/>
              </w:rPr>
              <w:t>Vacaciones de ciclos anteriores (días manuales)</w:t>
            </w:r>
          </w:p>
        </w:tc>
        <w:tc>
          <w:tcPr>
            <w:tcW w:type="dxa" w:w="2409"/>
          </w:tcPr>
          <w:p>
            <w:r/>
            <w:r>
              <w:rPr>
                <w:sz w:val="18"/>
              </w:rPr>
              <w:t>Art. 79 LFT</w:t>
            </w:r>
          </w:p>
        </w:tc>
        <w:tc>
          <w:tcPr>
            <w:tcW w:type="dxa" w:w="2409"/>
          </w:tcPr>
          <w:p>
            <w:r/>
            <w:r>
              <w:rPr>
                <w:sz w:val="18"/>
              </w:rPr>
              <w:t>semiautomático</w:t>
            </w:r>
          </w:p>
        </w:tc>
        <w:tc>
          <w:tcPr>
            <w:tcW w:type="dxa" w:w="2409"/>
          </w:tcPr>
          <w:p>
            <w:r/>
            <w:r>
              <w:rPr>
                <w:sz w:val="18"/>
              </w:rPr>
              <w:t>salario diario</w:t>
            </w:r>
          </w:p>
        </w:tc>
      </w:tr>
      <w:tr>
        <w:tc>
          <w:tcPr>
            <w:tcW w:type="dxa" w:w="2409"/>
          </w:tcPr>
          <w:p>
            <w:r/>
            <w:r>
              <w:rPr>
                <w:sz w:val="18"/>
              </w:rPr>
              <w:t>Horas extras: dobles + excedentes</w:t>
            </w:r>
          </w:p>
        </w:tc>
        <w:tc>
          <w:tcPr>
            <w:tcW w:type="dxa" w:w="2409"/>
          </w:tcPr>
          <w:p>
            <w:r/>
            <w:r>
              <w:rPr>
                <w:sz w:val="18"/>
              </w:rPr>
              <w:t>Arts. 66 y 68 LFT</w:t>
            </w:r>
          </w:p>
        </w:tc>
        <w:tc>
          <w:tcPr>
            <w:tcW w:type="dxa" w:w="2409"/>
          </w:tcPr>
          <w:p>
            <w:r/>
            <w:r>
              <w:rPr>
                <w:sz w:val="18"/>
              </w:rPr>
              <w:t>semiautomático</w:t>
            </w:r>
          </w:p>
        </w:tc>
        <w:tc>
          <w:tcPr>
            <w:tcW w:type="dxa" w:w="2409"/>
          </w:tcPr>
          <w:p>
            <w:r/>
            <w:r>
              <w:rPr>
                <w:sz w:val="18"/>
              </w:rPr>
              <w:t>valor hora según jornada (art. 61)</w:t>
            </w:r>
          </w:p>
        </w:tc>
      </w:tr>
      <w:tr>
        <w:tc>
          <w:tcPr>
            <w:tcW w:type="dxa" w:w="2409"/>
          </w:tcPr>
          <w:p>
            <w:r/>
            <w:r>
              <w:rPr>
                <w:sz w:val="18"/>
              </w:rPr>
              <w:t>Salarios devengados (monto manual)</w:t>
            </w:r>
          </w:p>
        </w:tc>
        <w:tc>
          <w:tcPr>
            <w:tcW w:type="dxa" w:w="2409"/>
          </w:tcPr>
          <w:p>
            <w:r/>
            <w:r>
              <w:rPr>
                <w:sz w:val="18"/>
              </w:rPr>
              <w:t>Art. 48 LFT</w:t>
            </w:r>
          </w:p>
        </w:tc>
        <w:tc>
          <w:tcPr>
            <w:tcW w:type="dxa" w:w="2409"/>
          </w:tcPr>
          <w:p>
            <w:r/>
            <w:r>
              <w:rPr>
                <w:sz w:val="18"/>
              </w:rPr>
              <w:t>manual</w:t>
            </w:r>
          </w:p>
        </w:tc>
        <w:tc>
          <w:tcPr>
            <w:tcW w:type="dxa" w:w="2409"/>
          </w:tcPr>
          <w:p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409"/>
          </w:tcPr>
          <w:p>
            <w:r/>
            <w:r>
              <w:rPr>
                <w:sz w:val="18"/>
              </w:rPr>
              <w:t>Días festivos laborados</w:t>
            </w:r>
          </w:p>
        </w:tc>
        <w:tc>
          <w:tcPr>
            <w:tcW w:type="dxa" w:w="2409"/>
          </w:tcPr>
          <w:p>
            <w:r/>
            <w:r>
              <w:rPr>
                <w:sz w:val="18"/>
              </w:rPr>
              <w:t>Arts. 74-75 LFT</w:t>
            </w:r>
          </w:p>
        </w:tc>
        <w:tc>
          <w:tcPr>
            <w:tcW w:type="dxa" w:w="2409"/>
          </w:tcPr>
          <w:p>
            <w:r/>
            <w:r>
              <w:rPr>
                <w:sz w:val="18"/>
              </w:rPr>
              <w:t>semiautomático</w:t>
            </w:r>
          </w:p>
        </w:tc>
        <w:tc>
          <w:tcPr>
            <w:tcW w:type="dxa" w:w="2409"/>
          </w:tcPr>
          <w:p>
            <w:r/>
            <w:r>
              <w:rPr>
                <w:sz w:val="18"/>
              </w:rPr>
              <w:t>3 × salario diario</w:t>
            </w:r>
          </w:p>
        </w:tc>
      </w:tr>
      <w:tr>
        <w:tc>
          <w:tcPr>
            <w:tcW w:type="dxa" w:w="2409"/>
          </w:tcPr>
          <w:p>
            <w:r/>
            <w:r>
              <w:rPr>
                <w:sz w:val="18"/>
              </w:rPr>
              <w:t>Días de descanso semanal laborados</w:t>
            </w:r>
          </w:p>
        </w:tc>
        <w:tc>
          <w:tcPr>
            <w:tcW w:type="dxa" w:w="2409"/>
          </w:tcPr>
          <w:p>
            <w:r/>
            <w:r>
              <w:rPr>
                <w:sz w:val="18"/>
              </w:rPr>
              <w:t>Arts. 69 y 73 LFT</w:t>
            </w:r>
          </w:p>
        </w:tc>
        <w:tc>
          <w:tcPr>
            <w:tcW w:type="dxa" w:w="2409"/>
          </w:tcPr>
          <w:p>
            <w:r/>
            <w:r>
              <w:rPr>
                <w:sz w:val="18"/>
              </w:rPr>
              <w:t>semiautomático</w:t>
            </w:r>
          </w:p>
        </w:tc>
        <w:tc>
          <w:tcPr>
            <w:tcW w:type="dxa" w:w="2409"/>
          </w:tcPr>
          <w:p>
            <w:r/>
            <w:r>
              <w:rPr>
                <w:sz w:val="18"/>
              </w:rPr>
              <w:t>2 × salario diario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color w:val="374151"/>
        </w:rPr>
        <w:t>5.4 Salario diario vs. salario diario integrado (arts. 84 y 89 LFT)</w:t>
      </w:r>
    </w:p>
    <w:p>
      <w:r>
        <w:t>El motor separa las dos bases porque la ley lo hace:</w:t>
      </w:r>
    </w:p>
    <w:p>
      <w:pPr>
        <w:pStyle w:val="ListBullet"/>
      </w:pPr>
      <w:r>
        <w:rPr>
          <w:b/>
        </w:rPr>
        <w:t>Salario diario</w:t>
      </w:r>
      <w:r>
        <w:t xml:space="preserve"> = salario ÷ 30 / 15 / 7 / 1 (art. 89). Base de aguinaldo, vacaciones, prima vacacional, horas extras, festivos.</w:t>
      </w:r>
    </w:p>
    <w:p>
      <w:pPr>
        <w:pStyle w:val="ListBullet"/>
      </w:pPr>
      <w:r>
        <w:rPr>
          <w:b/>
        </w:rPr>
        <w:t>Salario diario integrado</w:t>
      </w:r>
      <w:r>
        <w:t xml:space="preserve"> = salario diario + parte proporcional de los conceptos del art. 84 (cuota diaria, gratificaciones, ayudas, comisiones, prestaciones en especie). Base de las </w:t>
      </w:r>
      <w:r>
        <w:rPr>
          <w:b/>
        </w:rPr>
        <w:t>indemnizaciones</w:t>
      </w:r>
      <w:r>
        <w:t xml:space="preserve"> (90 días y 20 días por año).</w:t>
      </w:r>
    </w:p>
    <w:p>
      <w:r>
        <w:t>Ambas cifras aparecen en la pantalla de cálculo y se asientan en la demanda ("Salario diario: $X · Salario diario integrado: $Y"). La prima de antigüedad usa su propia base (piso y techo del salario mínimo del área, arts. 485/486) — nunca la UMA.</w:t>
      </w:r>
    </w:p>
    <w:p>
      <w:pPr>
        <w:pStyle w:val="Heading2"/>
      </w:pPr>
      <w:r>
        <w:rPr>
          <w:color w:val="374151"/>
        </w:rPr>
        <w:t>5.5 Las horas extras son estructuradas, nunca un factor promedio</w:t>
      </w:r>
    </w:p>
    <w:p>
      <w:r>
        <w:t xml:space="preserve">Una cantidad total de horas no contiene información jurídica: el límite de horas al doble es semanal y depende del año, y lo que lo excede se paga al triple. Por eso el motor recibe </w:t>
      </w:r>
      <w:r>
        <w:rPr>
          <w:rFonts w:ascii="Consolas" w:hAnsi="Consolas"/>
          <w:sz w:val="18"/>
          <w:shd w:val="clear" w:fill="EEF2FF"/>
        </w:rPr>
        <w:t>horas_extra_normales</w:t>
      </w:r>
      <w:r>
        <w:t xml:space="preserve"> (art. 66) y </w:t>
      </w:r>
      <w:r>
        <w:rPr>
          <w:rFonts w:ascii="Consolas" w:hAnsi="Consolas"/>
          <w:sz w:val="18"/>
          <w:shd w:val="clear" w:fill="EEF2FF"/>
        </w:rPr>
        <w:t>horas_extra_excedentes</w:t>
      </w:r>
      <w:r>
        <w:t xml:space="preserve"> (art. 68). Si sólo se captura un total, se reparte contra los topes semanales del año (9 + 4 h en 2026) en lugar de aplicar el antiguo factor promedio de 2.5×. El valor de la hora sigue la duración de la jornada (8 / 7 / 7.5 h, art. 61 LFT).</w:t>
      </w:r>
    </w:p>
    <w:p>
      <w:pPr>
        <w:pStyle w:val="Heading2"/>
      </w:pPr>
      <w:r>
        <w:rPr>
          <w:color w:val="374151"/>
        </w:rPr>
        <w:t>5.6 Procedencia por tipo de terminación (arts. 46, 50 y 162 LFT)</w:t>
      </w:r>
    </w:p>
    <w:p>
      <w:r>
        <w:t xml:space="preserve">La indemnización no es una prestación automática: </w:t>
      </w:r>
      <w:r>
        <w:rPr>
          <w:rFonts w:ascii="Consolas" w:hAnsi="Consolas"/>
          <w:sz w:val="18"/>
          <w:shd w:val="clear" w:fill="EEF2FF"/>
        </w:rPr>
        <w:t>ReglasLegales.restricciones_por_tipo()</w:t>
      </w:r>
      <w:r>
        <w:t xml:space="preserve"> decide según la causa de terminación, y la demanda, la pantalla y el recálculo comparten esa única regla: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fill="1F2937"/>
          </w:tcPr>
          <w:p>
            <w:r/>
            <w:r>
              <w:rPr>
                <w:b/>
                <w:color w:val="FFFFFF"/>
                <w:sz w:val="18"/>
              </w:rPr>
              <w:t>Terminación</w:t>
            </w:r>
          </w:p>
        </w:tc>
        <w:tc>
          <w:tcPr>
            <w:tcW w:type="dxa" w:w="2409"/>
            <w:shd w:val="clear" w:fill="1F2937"/>
          </w:tcPr>
          <w:p>
            <w:r/>
            <w:r>
              <w:rPr>
                <w:b/>
                <w:color w:val="FFFFFF"/>
                <w:sz w:val="18"/>
              </w:rPr>
              <w:t>90 días (art. 50 fr. III)</w:t>
            </w:r>
          </w:p>
        </w:tc>
        <w:tc>
          <w:tcPr>
            <w:tcW w:type="dxa" w:w="2409"/>
            <w:shd w:val="clear" w:fill="1F2937"/>
          </w:tcPr>
          <w:p>
            <w:r/>
            <w:r>
              <w:rPr>
                <w:b/>
                <w:color w:val="FFFFFF"/>
                <w:sz w:val="18"/>
              </w:rPr>
              <w:t>20 días/año (art. 50 fr. II)</w:t>
            </w:r>
          </w:p>
        </w:tc>
        <w:tc>
          <w:tcPr>
            <w:tcW w:type="dxa" w:w="2409"/>
            <w:shd w:val="clear" w:fill="1F2937"/>
          </w:tcPr>
          <w:p>
            <w:r/>
            <w:r>
              <w:rPr>
                <w:b/>
                <w:color w:val="FFFFFF"/>
                <w:sz w:val="18"/>
              </w:rPr>
              <w:t>Prima de antigüedad (art. 162)</w:t>
            </w:r>
          </w:p>
        </w:tc>
      </w:tr>
      <w:tr>
        <w:tc>
          <w:tcPr>
            <w:tcW w:type="dxa" w:w="2409"/>
          </w:tcPr>
          <w:p>
            <w:r/>
            <w:r>
              <w:rPr>
                <w:sz w:val="18"/>
              </w:rPr>
              <w:t>Despido injustificado</w:t>
            </w:r>
          </w:p>
        </w:tc>
        <w:tc>
          <w:tcPr>
            <w:tcW w:type="dxa" w:w="2409"/>
          </w:tcPr>
          <w:p>
            <w:r/>
            <w:r>
              <w:rPr>
                <w:sz w:val="18"/>
              </w:rPr>
              <w:t>✔</w:t>
            </w:r>
          </w:p>
        </w:tc>
        <w:tc>
          <w:tcPr>
            <w:tcW w:type="dxa" w:w="2409"/>
          </w:tcPr>
          <w:p>
            <w:r/>
            <w:r>
              <w:rPr>
                <w:sz w:val="18"/>
              </w:rPr>
              <w:t>✔</w:t>
            </w:r>
          </w:p>
        </w:tc>
        <w:tc>
          <w:tcPr>
            <w:tcW w:type="dxa" w:w="2409"/>
          </w:tcPr>
          <w:p>
            <w:r/>
            <w:r>
              <w:rPr>
                <w:sz w:val="18"/>
              </w:rPr>
              <w:t>✔</w:t>
            </w:r>
          </w:p>
        </w:tc>
      </w:tr>
      <w:tr>
        <w:tc>
          <w:tcPr>
            <w:tcW w:type="dxa" w:w="2409"/>
          </w:tcPr>
          <w:p>
            <w:r/>
            <w:r>
              <w:rPr>
                <w:sz w:val="18"/>
              </w:rPr>
              <w:t>Rescisión (arts. 51-52)</w:t>
            </w:r>
          </w:p>
        </w:tc>
        <w:tc>
          <w:tcPr>
            <w:tcW w:type="dxa" w:w="2409"/>
          </w:tcPr>
          <w:p>
            <w:r/>
            <w:r>
              <w:rPr>
                <w:sz w:val="18"/>
              </w:rPr>
              <w:t>✔</w:t>
            </w:r>
          </w:p>
        </w:tc>
        <w:tc>
          <w:tcPr>
            <w:tcW w:type="dxa" w:w="2409"/>
          </w:tcPr>
          <w:p>
            <w:r/>
            <w:r>
              <w:rPr>
                <w:sz w:val="18"/>
              </w:rPr>
              <w:t>✔</w:t>
            </w:r>
          </w:p>
        </w:tc>
        <w:tc>
          <w:tcPr>
            <w:tcW w:type="dxa" w:w="2409"/>
          </w:tcPr>
          <w:p>
            <w:r/>
            <w:r>
              <w:rPr>
                <w:sz w:val="18"/>
              </w:rPr>
              <w:t>✔</w:t>
            </w:r>
          </w:p>
        </w:tc>
      </w:tr>
      <w:tr>
        <w:tc>
          <w:tcPr>
            <w:tcW w:type="dxa" w:w="2409"/>
          </w:tcPr>
          <w:p>
            <w:r/>
            <w:r>
              <w:rPr>
                <w:sz w:val="18"/>
              </w:rPr>
              <w:t>Despido justificado</w:t>
            </w:r>
          </w:p>
        </w:tc>
        <w:tc>
          <w:tcPr>
            <w:tcW w:type="dxa" w:w="2409"/>
          </w:tcPr>
          <w:p>
            <w:r/>
            <w:r>
              <w:rPr>
                <w:sz w:val="18"/>
              </w:rPr>
              <w:t>✘ (art. 46)</w:t>
            </w:r>
          </w:p>
        </w:tc>
        <w:tc>
          <w:tcPr>
            <w:tcW w:type="dxa" w:w="2409"/>
          </w:tcPr>
          <w:p>
            <w:r/>
            <w:r>
              <w:rPr>
                <w:sz w:val="18"/>
              </w:rPr>
              <w:t>✘</w:t>
            </w:r>
          </w:p>
        </w:tc>
        <w:tc>
          <w:tcPr>
            <w:tcW w:type="dxa" w:w="2409"/>
          </w:tcPr>
          <w:p>
            <w:r/>
            <w:r>
              <w:rPr>
                <w:sz w:val="18"/>
              </w:rPr>
              <w:t>✔ (fr. III)</w:t>
            </w:r>
          </w:p>
        </w:tc>
      </w:tr>
      <w:tr>
        <w:tc>
          <w:tcPr>
            <w:tcW w:type="dxa" w:w="2409"/>
          </w:tcPr>
          <w:p>
            <w:r/>
            <w:r>
              <w:rPr>
                <w:sz w:val="18"/>
              </w:rPr>
              <w:t>Renuncia voluntaria</w:t>
            </w:r>
          </w:p>
        </w:tc>
        <w:tc>
          <w:tcPr>
            <w:tcW w:type="dxa" w:w="2409"/>
          </w:tcPr>
          <w:p>
            <w:r/>
            <w:r>
              <w:rPr>
                <w:sz w:val="18"/>
              </w:rPr>
              <w:t>✘</w:t>
            </w:r>
          </w:p>
        </w:tc>
        <w:tc>
          <w:tcPr>
            <w:tcW w:type="dxa" w:w="2409"/>
          </w:tcPr>
          <w:p>
            <w:r/>
            <w:r>
              <w:rPr>
                <w:sz w:val="18"/>
              </w:rPr>
              <w:t>✘</w:t>
            </w:r>
          </w:p>
        </w:tc>
        <w:tc>
          <w:tcPr>
            <w:tcW w:type="dxa" w:w="2409"/>
          </w:tcPr>
          <w:p>
            <w:r/>
            <w:r>
              <w:rPr>
                <w:sz w:val="18"/>
              </w:rPr>
              <w:t>✔ sólo con 15 años o más</w:t>
            </w:r>
          </w:p>
        </w:tc>
      </w:tr>
    </w:tbl>
    <w:p>
      <w:pPr>
        <w:spacing w:after="0"/>
      </w:pPr>
    </w:p>
    <w:p>
      <w:r>
        <w:t>Las prestaciones ordinarias (aguinaldo, vacaciones, prima vacacional, horas extras) se deben en todos los casos.</w:t>
      </w:r>
    </w:p>
    <w:p>
      <w:pPr>
        <w:pStyle w:val="Heading2"/>
      </w:pPr>
      <w:r>
        <w:rPr>
          <w:color w:val="374151"/>
        </w:rPr>
        <w:t>5.7 Narrativa del despido (art. 47 LFT)</w:t>
      </w:r>
    </w:p>
    <w:p>
      <w:r>
        <w:t xml:space="preserve">Los HECHOS de la demanda se arman con campos </w:t>
      </w:r>
      <w:r>
        <w:rPr>
          <w:b/>
        </w:rPr>
        <w:t>estructurados</w:t>
      </w:r>
      <w:r>
        <w:t xml:space="preserve"> capturados en el espacio </w:t>
      </w:r>
      <w:r>
        <w:rPr>
          <w:b/>
        </w:rPr>
        <w:t>Estrategia y prestaciones</w:t>
      </w:r>
      <w:r>
        <w:t>, no con un solo texto libre. Cada modalidad tiene redactado propio, porque la forma de la separación tiene consecuencia jurídica: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fill="1F2937"/>
          </w:tcPr>
          <w:p>
            <w:r/>
            <w:r>
              <w:rPr>
                <w:b/>
                <w:color w:val="FFFFFF"/>
                <w:sz w:val="18"/>
              </w:rPr>
              <w:t>Modalidad</w:t>
            </w:r>
          </w:p>
        </w:tc>
        <w:tc>
          <w:tcPr>
            <w:tcW w:type="dxa" w:w="3213"/>
            <w:shd w:val="clear" w:fill="1F2937"/>
          </w:tcPr>
          <w:p>
            <w:r/>
            <w:r>
              <w:rPr>
                <w:b/>
                <w:color w:val="FFFFFF"/>
                <w:sz w:val="18"/>
              </w:rPr>
              <w:t>Redactado</w:t>
            </w:r>
          </w:p>
        </w:tc>
        <w:tc>
          <w:tcPr>
            <w:tcW w:type="dxa" w:w="3213"/>
            <w:shd w:val="clear" w:fill="1F2937"/>
          </w:tcPr>
          <w:p>
            <w:r/>
            <w:r>
              <w:rPr>
                <w:b/>
                <w:color w:val="FFFFFF"/>
                <w:sz w:val="18"/>
              </w:rPr>
              <w:t>Nota legal</w:t>
            </w:r>
          </w:p>
        </w:tc>
      </w:tr>
      <w:tr>
        <w:tc>
          <w:tcPr>
            <w:tcW w:type="dxa" w:w="3213"/>
          </w:tcPr>
          <w:p>
            <w:r/>
            <w:r>
              <w:rPr>
                <w:sz w:val="18"/>
              </w:rPr>
              <w:t>verbal</w:t>
            </w:r>
          </w:p>
        </w:tc>
        <w:tc>
          <w:tcPr>
            <w:tcW w:type="dxa" w:w="3213"/>
          </w:tcPr>
          <w:p>
            <w:r/>
            <w:r>
              <w:rPr>
                <w:sz w:val="18"/>
              </w:rPr>
              <w:t>Despido verbal sin documento; cita a quien comunicó, dónde y la frase textual</w:t>
            </w:r>
          </w:p>
        </w:tc>
        <w:tc>
          <w:tcPr>
            <w:tcW w:type="dxa" w:w="3213"/>
          </w:tcPr>
          <w:p>
            <w:r/>
            <w:r>
              <w:rPr>
                <w:sz w:val="18"/>
              </w:rPr>
              <w:t>Sin aviso escrito se presume la separación injustificada (art. 47 LFT)</w:t>
            </w:r>
          </w:p>
        </w:tc>
      </w:tr>
      <w:tr>
        <w:tc>
          <w:tcPr>
            <w:tcW w:type="dxa" w:w="3213"/>
          </w:tcPr>
          <w:p>
            <w:r/>
            <w:r>
              <w:rPr>
                <w:sz w:val="18"/>
              </w:rPr>
              <w:t>escrito</w:t>
            </w:r>
          </w:p>
        </w:tc>
        <w:tc>
          <w:tcPr>
            <w:tcW w:type="dxa" w:w="3213"/>
          </w:tcPr>
          <w:p>
            <w:r/>
            <w:r>
              <w:rPr>
                <w:sz w:val="18"/>
              </w:rPr>
              <w:t>Recepción del documento de terminación; cita el motivo consignado</w:t>
            </w:r>
          </w:p>
        </w:tc>
        <w:tc>
          <w:tcPr>
            <w:tcW w:type="dxa" w:w="3213"/>
          </w:tcPr>
          <w:p>
            <w:r/>
            <w:r>
              <w:rPr>
                <w:sz w:val="18"/>
              </w:rPr>
              <w:t>Si el documento no consigna causa, el hecho lo hace constar</w:t>
            </w:r>
          </w:p>
        </w:tc>
      </w:tr>
      <w:tr>
        <w:tc>
          <w:tcPr>
            <w:tcW w:type="dxa" w:w="3213"/>
          </w:tcPr>
          <w:p>
            <w:r/>
            <w:r>
              <w:rPr>
                <w:sz w:val="18"/>
              </w:rPr>
              <w:t>acceso</w:t>
            </w:r>
          </w:p>
        </w:tc>
        <w:tc>
          <w:tcPr>
            <w:tcW w:type="dxa" w:w="3213"/>
          </w:tcPr>
          <w:p>
            <w:r/>
            <w:r>
              <w:rPr>
                <w:sz w:val="18"/>
              </w:rPr>
              <w:t>Se presentó al centro de trabajo y se le impidió el acceso</w:t>
            </w:r>
          </w:p>
        </w:tc>
        <w:tc>
          <w:tcPr>
            <w:tcW w:type="dxa" w:w="3213"/>
          </w:tcPr>
          <w:p>
            <w:r/>
            <w:r>
              <w:rPr>
                <w:sz w:val="18"/>
              </w:rPr>
              <w:t>La negativa de acceso equivale a la separación</w:t>
            </w:r>
          </w:p>
        </w:tc>
      </w:tr>
      <w:tr>
        <w:tc>
          <w:tcPr>
            <w:tcW w:type="dxa" w:w="3213"/>
          </w:tcPr>
          <w:p>
            <w:r/>
            <w:r>
              <w:rPr>
                <w:sz w:val="18"/>
              </w:rPr>
              <w:t>otro</w:t>
            </w:r>
          </w:p>
        </w:tc>
        <w:tc>
          <w:tcPr>
            <w:tcW w:type="dxa" w:w="3213"/>
          </w:tcPr>
          <w:p>
            <w:r/>
            <w:r>
              <w:rPr>
                <w:sz w:val="18"/>
              </w:rPr>
              <w:t>Explicación libre del asesor</w:t>
            </w:r>
          </w:p>
        </w:tc>
        <w:tc>
          <w:tcPr>
            <w:tcW w:type="dxa" w:w="3213"/>
          </w:tcPr>
          <w:p>
            <w:r/>
            <w:r>
              <w:rPr>
                <w:sz w:val="18"/>
              </w:rPr>
              <w:t>—</w:t>
            </w:r>
          </w:p>
        </w:tc>
      </w:tr>
    </w:tbl>
    <w:p>
      <w:pPr>
        <w:spacing w:after="0"/>
      </w:pPr>
    </w:p>
    <w:p>
      <w:r>
        <w:t xml:space="preserve">Campos que alimentan el redactado: </w:t>
      </w:r>
      <w:r>
        <w:rPr>
          <w:rFonts w:ascii="Consolas" w:hAnsi="Consolas"/>
          <w:sz w:val="18"/>
          <w:shd w:val="clear" w:fill="EEF2FF"/>
        </w:rPr>
        <w:t>modalidad_despido</w:t>
      </w:r>
      <w:r>
        <w:t xml:space="preserve">, </w:t>
      </w:r>
      <w:r>
        <w:rPr>
          <w:rFonts w:ascii="Consolas" w:hAnsi="Consolas"/>
          <w:sz w:val="18"/>
          <w:shd w:val="clear" w:fill="EEF2FF"/>
        </w:rPr>
        <w:t>hubo_documento_despido</w:t>
      </w:r>
      <w:r>
        <w:t xml:space="preserve">, </w:t>
      </w:r>
      <w:r>
        <w:rPr>
          <w:rFonts w:ascii="Consolas" w:hAnsi="Consolas"/>
          <w:sz w:val="18"/>
          <w:shd w:val="clear" w:fill="EEF2FF"/>
        </w:rPr>
        <w:t>despido_comunicado_por</w:t>
      </w:r>
      <w:r>
        <w:t xml:space="preserve">, </w:t>
      </w:r>
      <w:r>
        <w:rPr>
          <w:rFonts w:ascii="Consolas" w:hAnsi="Consolas"/>
          <w:sz w:val="18"/>
          <w:shd w:val="clear" w:fill="EEF2FF"/>
        </w:rPr>
        <w:t>despido_lugar</w:t>
      </w:r>
      <w:r>
        <w:t xml:space="preserve">, </w:t>
      </w:r>
      <w:r>
        <w:rPr>
          <w:rFonts w:ascii="Consolas" w:hAnsi="Consolas"/>
          <w:sz w:val="18"/>
          <w:shd w:val="clear" w:fill="EEF2FF"/>
        </w:rPr>
        <w:t>despido_frase</w:t>
      </w:r>
      <w:r>
        <w:t xml:space="preserve">, </w:t>
      </w:r>
      <w:r>
        <w:rPr>
          <w:rFonts w:ascii="Consolas" w:hAnsi="Consolas"/>
          <w:sz w:val="18"/>
          <w:shd w:val="clear" w:fill="EEF2FF"/>
        </w:rPr>
        <w:t>despido_documento_motivo</w:t>
      </w:r>
      <w:r>
        <w:t xml:space="preserve">, </w:t>
      </w:r>
      <w:r>
        <w:rPr>
          <w:rFonts w:ascii="Consolas" w:hAnsi="Consolas"/>
          <w:sz w:val="18"/>
          <w:shd w:val="clear" w:fill="EEF2FF"/>
        </w:rPr>
        <w:t>despido_otra_modalidad</w:t>
      </w:r>
      <w:r>
        <w:t xml:space="preserve">, </w:t>
      </w:r>
      <w:r>
        <w:rPr>
          <w:rFonts w:ascii="Consolas" w:hAnsi="Consolas"/>
          <w:sz w:val="18"/>
          <w:shd w:val="clear" w:fill="EEF2FF"/>
        </w:rPr>
        <w:t>lugar_trabajo</w:t>
      </w:r>
      <w:r>
        <w:t xml:space="preserve"> y </w:t>
      </w:r>
      <w:r>
        <w:rPr>
          <w:rFonts w:ascii="Consolas" w:hAnsi="Consolas"/>
          <w:sz w:val="18"/>
          <w:shd w:val="clear" w:fill="EEF2FF"/>
        </w:rPr>
        <w:t>circunstancias_despido</w:t>
      </w:r>
      <w:r>
        <w:t xml:space="preserve"> (anotaciones libres, que se suman al final).</w:t>
      </w:r>
    </w:p>
    <w:p>
      <w:r>
        <w:rPr>
          <w:rFonts w:ascii="Consolas" w:hAnsi="Consolas"/>
          <w:sz w:val="18"/>
          <w:shd w:val="clear" w:fill="EEF2FF"/>
        </w:rPr>
        <w:t>construir_hechos()</w:t>
      </w:r>
      <w:r>
        <w:t xml:space="preserve"> es la </w:t>
      </w:r>
      <w:r>
        <w:rPr>
          <w:b/>
        </w:rPr>
        <w:t>fuente única</w:t>
      </w:r>
      <w:r>
        <w:t xml:space="preserve"> de la narrativa: la consumen tanto el generador DOCX como el HTML, de modo que ambas descargas dicen exactamente lo mismo.</w:t>
      </w:r>
    </w:p>
    <w:p>
      <w:pPr>
        <w:pStyle w:val="Heading2"/>
      </w:pPr>
      <w:r>
        <w:rPr>
          <w:color w:val="374151"/>
        </w:rPr>
        <w:t>5.8 Acción preferida (arts. 48 y 49 LFT)</w:t>
      </w:r>
    </w:p>
    <w:p>
      <w:r>
        <w:t xml:space="preserve">El art. 48 LFT da al trabajador una </w:t>
      </w:r>
      <w:r>
        <w:rPr>
          <w:b/>
        </w:rPr>
        <w:t>elección</w:t>
      </w:r>
      <w:r>
        <w:t xml:space="preserve"> entre la reinstalación en el puesto que desempeñaba y la indemnización de tres meses de salario. No son prestaciones acumulables: son acciones excluyentes. El campo </w:t>
      </w:r>
      <w:r>
        <w:rPr>
          <w:rFonts w:ascii="Consolas" w:hAnsi="Consolas"/>
          <w:sz w:val="18"/>
          <w:shd w:val="clear" w:fill="EEF2FF"/>
        </w:rPr>
        <w:t>Cliente.accion_preferida</w:t>
      </w:r>
      <w:r>
        <w:t xml:space="preserve"> captura la elección y </w:t>
      </w:r>
      <w:r>
        <w:rPr>
          <w:rFonts w:ascii="Consolas" w:hAnsi="Consolas"/>
          <w:sz w:val="18"/>
          <w:shd w:val="clear" w:fill="EEF2FF"/>
        </w:rPr>
        <w:t>ReglasLegales.accion_posible()</w:t>
      </w:r>
      <w:r>
        <w:t xml:space="preserve"> la resuelve: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fill="1F2937"/>
          </w:tcPr>
          <w:p>
            <w:r/>
            <w:r>
              <w:rPr>
                <w:b/>
                <w:color w:val="FFFFFF"/>
                <w:sz w:val="18"/>
              </w:rPr>
              <w:t>Situación</w:t>
            </w:r>
          </w:p>
        </w:tc>
        <w:tc>
          <w:tcPr>
            <w:tcW w:type="dxa" w:w="4819"/>
            <w:shd w:val="clear" w:fill="1F2937"/>
          </w:tcPr>
          <w:p>
            <w:r/>
            <w:r>
              <w:rPr>
                <w:b/>
                <w:color w:val="FFFFFF"/>
                <w:sz w:val="18"/>
              </w:rPr>
              <w:t>Resultado</w:t>
            </w:r>
          </w:p>
        </w:tc>
      </w:tr>
      <w:tr>
        <w:tc>
          <w:tcPr>
            <w:tcW w:type="dxa" w:w="4819"/>
          </w:tcPr>
          <w:p>
            <w:r/>
            <w:r>
              <w:rPr>
                <w:sz w:val="18"/>
              </w:rPr>
              <w:t>reinstalacion</w:t>
            </w:r>
            <w:r>
              <w:rPr>
                <w:sz w:val="18"/>
              </w:rPr>
              <w:t xml:space="preserve"> con ≥ 1 año y despido injustificado o rescisión</w:t>
            </w:r>
          </w:p>
        </w:tc>
        <w:tc>
          <w:tcPr>
            <w:tcW w:type="dxa" w:w="4819"/>
          </w:tcPr>
          <w:p>
            <w:r/>
            <w:r>
              <w:rPr>
                <w:b/>
                <w:sz w:val="18"/>
              </w:rPr>
              <w:t>Procede</w:t>
            </w:r>
            <w:r>
              <w:rPr>
                <w:sz w:val="18"/>
              </w:rPr>
              <w:t>: la indemnización de 3 meses sale del total y el petitorio pide reinstalación + salarios caídos</w:t>
            </w:r>
          </w:p>
        </w:tc>
      </w:tr>
      <w:tr>
        <w:tc>
          <w:tcPr>
            <w:tcW w:type="dxa" w:w="4819"/>
          </w:tcPr>
          <w:p>
            <w:r/>
            <w:r>
              <w:rPr>
                <w:sz w:val="18"/>
              </w:rPr>
              <w:t>reinstalacion</w:t>
            </w:r>
            <w:r>
              <w:rPr>
                <w:sz w:val="18"/>
              </w:rPr>
              <w:t xml:space="preserve"> con &lt; 1 año</w:t>
            </w:r>
          </w:p>
        </w:tc>
        <w:tc>
          <w:tcPr>
            <w:tcW w:type="dxa" w:w="4819"/>
          </w:tcPr>
          <w:p>
            <w:r/>
            <w:r>
              <w:rPr>
                <w:b/>
                <w:sz w:val="18"/>
              </w:rPr>
              <w:t>No procede</w:t>
            </w:r>
            <w:r>
              <w:rPr>
                <w:sz w:val="18"/>
              </w:rPr>
              <w:t xml:space="preserve"> (art. 49 fr. I LFT): se mantiene la indemnización y el motor explica por qué</w:t>
            </w:r>
          </w:p>
        </w:tc>
      </w:tr>
      <w:tr>
        <w:tc>
          <w:tcPr>
            <w:tcW w:type="dxa" w:w="4819"/>
          </w:tcPr>
          <w:p>
            <w:r/>
            <w:r>
              <w:rPr>
                <w:sz w:val="18"/>
              </w:rPr>
              <w:t>reinstalacion</w:t>
            </w:r>
            <w:r>
              <w:rPr>
                <w:sz w:val="18"/>
              </w:rPr>
              <w:t xml:space="preserve"> en despido justificado o renuncia voluntaria</w:t>
            </w:r>
          </w:p>
        </w:tc>
        <w:tc>
          <w:tcPr>
            <w:tcW w:type="dxa" w:w="4819"/>
          </w:tcPr>
          <w:p>
            <w:r/>
            <w:r>
              <w:rPr>
                <w:b/>
                <w:sz w:val="18"/>
              </w:rPr>
              <w:t>No procede</w:t>
            </w:r>
            <w:r>
              <w:rPr>
                <w:sz w:val="18"/>
              </w:rPr>
              <w:t xml:space="preserve"> (art. 46 LFT)</w:t>
            </w:r>
          </w:p>
        </w:tc>
      </w:tr>
      <w:tr>
        <w:tc>
          <w:tcPr>
            <w:tcW w:type="dxa" w:w="4819"/>
          </w:tcPr>
          <w:p>
            <w:r/>
            <w:r>
              <w:rPr>
                <w:sz w:val="18"/>
              </w:rPr>
              <w:t>indemnizacion</w:t>
            </w:r>
          </w:p>
        </w:tc>
        <w:tc>
          <w:tcPr>
            <w:tcW w:type="dxa" w:w="4819"/>
          </w:tcPr>
          <w:p>
            <w:r/>
            <w:r>
              <w:rPr>
                <w:sz w:val="18"/>
              </w:rPr>
              <w:t>Siempre procede si el tipo de separación genera responsabilidad</w:t>
            </w:r>
          </w:p>
        </w:tc>
      </w:tr>
    </w:tbl>
    <w:p>
      <w:pPr>
        <w:spacing w:after="0"/>
      </w:pPr>
    </w:p>
    <w:p>
      <w:r>
        <w:t xml:space="preserve">Cuando la elección es la reinstalación pero no procede, la pantalla de </w:t>
      </w:r>
      <w:r>
        <w:rPr>
          <w:b/>
        </w:rPr>
        <w:t>Estrategia</w:t>
      </w:r>
      <w:r>
        <w:t xml:space="preserve"> muestra una advertencia (</w:t>
      </w:r>
      <w:r>
        <w:rPr>
          <w:rFonts w:ascii="Consolas" w:hAnsi="Consolas"/>
          <w:sz w:val="18"/>
          <w:shd w:val="clear" w:fill="EEF2FF"/>
        </w:rPr>
        <w:t>advertencias_accion</w:t>
      </w:r>
      <w:r>
        <w:t>) antes de generar la demanda, para que el asesor no formule una acción imposible. La misma comprobación aparece en el panel de coherencia del documento.</w:t>
      </w:r>
    </w:p>
    <w:p>
      <w:pPr>
        <w:pStyle w:val="Heading2"/>
      </w:pPr>
      <w:r>
        <w:rPr>
          <w:color w:val="374151"/>
        </w:rPr>
        <w:t>5.4 Cálculo por caso (`CalculoLaboral`)</w:t>
      </w:r>
    </w:p>
    <w:p>
      <w:pPr>
        <w:pStyle w:val="ListBullet"/>
      </w:pPr>
      <w:r>
        <w:t xml:space="preserve">Un cálculo por expediente que guarda una </w:t>
      </w:r>
      <w:r>
        <w:rPr>
          <w:b/>
        </w:rPr>
        <w:t>instantánea de los datos de entrada</w:t>
      </w:r>
      <w:r>
        <w:t xml:space="preserve"> para conservar el histórico.</w:t>
      </w:r>
    </w:p>
    <w:p>
      <w:pPr>
        <w:pStyle w:val="ListBullet"/>
      </w:pPr>
      <w:r>
        <w:rPr>
          <w:b/>
        </w:rPr>
        <w:t>Casillas de verificación</w:t>
      </w:r>
      <w:r>
        <w:t xml:space="preserve"> que permiten al asesor elegir qué conceptos incluir (5 conceptos base activos por defecto). Los conceptos que dependen de la causa de terminación los enciende o apaga la ley, no la casilla.</w:t>
      </w:r>
    </w:p>
    <w:p>
      <w:pPr>
        <w:pStyle w:val="ListBullet"/>
      </w:pPr>
      <w:r>
        <w:rPr>
          <w:b/>
        </w:rPr>
        <w:t>Sustitución manual</w:t>
      </w:r>
      <w:r>
        <w:t xml:space="preserve"> de los días de vacaciones realmente adeudados (cuando algunos años ya se pagaron o disfrutaron) — se muestra con el indicador *override aplicado*.</w:t>
      </w:r>
    </w:p>
    <w:p>
      <w:pPr>
        <w:pStyle w:val="ListBullet"/>
      </w:pPr>
      <w:r>
        <w:t xml:space="preserve">Capturas para los </w:t>
      </w:r>
      <w:r>
        <w:rPr>
          <w:b/>
        </w:rPr>
        <w:t>componentes del salario integrado</w:t>
      </w:r>
      <w:r>
        <w:t xml:space="preserve">, el </w:t>
      </w:r>
      <w:r>
        <w:rPr>
          <w:b/>
        </w:rPr>
        <w:t>desglose de horas extras</w:t>
      </w:r>
      <w:r>
        <w:t xml:space="preserve"> (dobles / excedentes) y los </w:t>
      </w:r>
      <w:r>
        <w:rPr>
          <w:b/>
        </w:rPr>
        <w:t>días de descanso semanal laborados</w:t>
      </w:r>
      <w:r>
        <w:t>.</w:t>
      </w:r>
    </w:p>
    <w:p>
      <w:pPr>
        <w:pStyle w:val="ListBullet"/>
      </w:pPr>
      <w:r>
        <w:t xml:space="preserve">Muestra salario diario, salario diario integrado, días trabajados, antigüedad exacta, la base del aguinaldo en días del año calendario, el desglose del ciclo de vacaciones, el piso y el tope aplicados a la prima de antigüedad, el detalle por concepto con referencia legal y el </w:t>
      </w:r>
      <w:r>
        <w:rPr>
          <w:b/>
        </w:rPr>
        <w:t>total</w:t>
      </w:r>
      <w:r>
        <w:t>.</w:t>
      </w:r>
    </w:p>
    <w:p>
      <w:pPr>
        <w:pStyle w:val="ListBullet"/>
      </w:pPr>
      <w:r>
        <w:rPr>
          <w:b/>
        </w:rPr>
        <w:t>Recálculo automático</w:t>
      </w:r>
      <w:r>
        <w:t xml:space="preserve"> cuando cambian los datos del cliente/expediente o las reglas legales (</w:t>
      </w:r>
      <w:r>
        <w:rPr>
          <w:rFonts w:ascii="Consolas" w:hAnsi="Consolas"/>
          <w:sz w:val="18"/>
          <w:shd w:val="clear" w:fill="EEF2FF"/>
        </w:rPr>
        <w:t>recalcular</w:t>
      </w:r>
      <w:r>
        <w:t>).</w:t>
      </w:r>
    </w:p>
    <w:p>
      <w:pPr>
        <w:pStyle w:val="ListBullet"/>
      </w:pPr>
      <w:r>
        <w:rPr>
          <w:b/>
        </w:rPr>
        <w:t>Simulación rápida</w:t>
      </w:r>
      <w:r>
        <w:t xml:space="preserve"> (</w:t>
      </w:r>
      <w:r>
        <w:rPr>
          <w:rFonts w:ascii="Consolas" w:hAnsi="Consolas"/>
          <w:sz w:val="18"/>
          <w:shd w:val="clear" w:fill="EEF2FF"/>
        </w:rPr>
        <w:t>simulacion-rapida</w:t>
      </w:r>
      <w:r>
        <w:t>) — estimación instantánea para un prospecto sin crear un caso: captura salario, fechas, zona salarial, jornada y tipo de terminación y obtén el desglose completo.</w:t>
      </w:r>
    </w:p>
    <w:p>
      <w:pPr>
        <w:pStyle w:val="ListBullet"/>
      </w:pPr>
      <w:r>
        <w:t xml:space="preserve">La </w:t>
      </w:r>
      <w:r>
        <w:rPr>
          <w:b/>
        </w:rPr>
        <w:t>demanda usa el cálculo guardado</w:t>
      </w:r>
      <w:r>
        <w:t>, así que lo que se reclama siempre coincide con lo que se le mostró al cliente en pantalla.</w:t>
      </w:r>
    </w:p>
    <w:p>
      <w:pPr>
        <w:spacing w:after="0"/>
      </w:pPr>
    </w:p>
    <w:p>
      <w:pPr>
        <w:pStyle w:val="Heading1"/>
      </w:pPr>
      <w:r>
        <w:rPr>
          <w:color w:val="1A6B3C"/>
        </w:rPr>
        <w:t>6. Generación de Documentos Legales</w:t>
      </w:r>
    </w:p>
    <w:p>
      <w:pPr>
        <w:pStyle w:val="Heading2"/>
      </w:pPr>
      <w:r>
        <w:rPr>
          <w:color w:val="374151"/>
        </w:rPr>
        <w:t>6.1 Machotes (plantillas HTML reutilizables)</w:t>
      </w:r>
    </w:p>
    <w:p>
      <w:pPr>
        <w:pStyle w:val="ListBullet"/>
      </w:pPr>
      <w:r>
        <w:t xml:space="preserve">Plantillas categorizadas como: </w:t>
      </w:r>
      <w:r>
        <w:rPr>
          <w:b/>
        </w:rPr>
        <w:t>Demanda Laboral, Carta Finiquito, Convenio, Solicitud, Citatorio, Otro</w:t>
      </w:r>
      <w:r>
        <w:t>; con jurisdicción (Federal / Estatal BC / Ambas), tipo de despido opcional, ícono, bandera de activo y orden.</w:t>
      </w:r>
    </w:p>
    <w:p>
      <w:pPr>
        <w:pStyle w:val="ListBullet"/>
      </w:pPr>
      <w:r>
        <w:t xml:space="preserve">Los machotes </w:t>
      </w:r>
      <w:r>
        <w:rPr>
          <w:b/>
        </w:rPr>
        <w:t>favoritos</w:t>
      </w:r>
      <w:r>
        <w:t xml:space="preserve"> aparecen primero en el editor.</w:t>
      </w:r>
    </w:p>
    <w:p>
      <w:pPr>
        <w:pStyle w:val="ListBullet"/>
      </w:pPr>
      <w:r>
        <w:t xml:space="preserve">El cuerpo de la plantilla es HTML con </w:t>
      </w:r>
      <w:r>
        <w:rPr>
          <w:b/>
        </w:rPr>
        <w:t>marcadores</w:t>
      </w:r>
      <w:r>
        <w:t xml:space="preserve"> como </w:t>
      </w:r>
      <w:r>
        <w:rPr>
          <w:rFonts w:ascii="Consolas" w:hAnsi="Consolas"/>
          <w:sz w:val="18"/>
          <w:shd w:val="clear" w:fill="EEF2FF"/>
        </w:rPr>
        <w:t>{{ nombre }}</w:t>
      </w:r>
      <w:r>
        <w:t xml:space="preserve">, </w:t>
      </w:r>
      <w:r>
        <w:rPr>
          <w:rFonts w:ascii="Consolas" w:hAnsi="Consolas"/>
          <w:sz w:val="18"/>
          <w:shd w:val="clear" w:fill="EEF2FF"/>
        </w:rPr>
        <w:t>{{ empresa }}</w:t>
      </w:r>
      <w:r>
        <w:t>, etc.</w:t>
      </w:r>
    </w:p>
    <w:p>
      <w:pPr>
        <w:pStyle w:val="Heading2"/>
      </w:pPr>
      <w:r>
        <w:rPr>
          <w:color w:val="374151"/>
        </w:rPr>
        <w:t>6.2 Motor de inyección de marcadores (`marcadores.py`)</w:t>
      </w:r>
    </w:p>
    <w:p>
      <w:pPr>
        <w:pStyle w:val="ListBullet"/>
      </w:pPr>
      <w:r>
        <w:t xml:space="preserve">~40 marcadores con </w:t>
      </w:r>
      <w:r>
        <w:rPr>
          <w:b/>
        </w:rPr>
        <w:t>datos reales del caso</w:t>
      </w:r>
      <w:r>
        <w:t xml:space="preserve">: cliente, empresa, expediente, fechas (en español, ej. "1 de enero de 2024"), formato de salarios </w:t>
      </w:r>
      <w:r>
        <w:rPr>
          <w:b/>
        </w:rPr>
        <w:t>y prestaciones calculadas</w:t>
      </w:r>
      <w:r>
        <w:t xml:space="preserve"> (aguinaldo, vacaciones, indemnización…) obtenidas automáticamente del motor de cálculo.</w:t>
      </w:r>
    </w:p>
    <w:p>
      <w:pPr>
        <w:pStyle w:val="ListBullet"/>
      </w:pPr>
      <w:r>
        <w:t>Los datos faltantes se muestran como marcadores visibles (</w:t>
      </w:r>
      <w:r>
        <w:rPr>
          <w:rFonts w:ascii="Consolas" w:hAnsi="Consolas"/>
          <w:sz w:val="18"/>
          <w:shd w:val="clear" w:fill="EEF2FF"/>
        </w:rPr>
        <w:t>[CURP]</w:t>
      </w:r>
      <w:r>
        <w:t xml:space="preserve">, </w:t>
      </w:r>
      <w:r>
        <w:rPr>
          <w:rFonts w:ascii="Consolas" w:hAnsi="Consolas"/>
          <w:sz w:val="18"/>
          <w:shd w:val="clear" w:fill="EEF2FF"/>
        </w:rPr>
        <w:t>[MONTO]</w:t>
      </w:r>
      <w:r>
        <w:t>, …) en lugar de espacios en blanco o errores — el usuario sabe exactamente qué completar.</w:t>
      </w:r>
    </w:p>
    <w:p>
      <w:pPr>
        <w:pStyle w:val="ListBullet"/>
      </w:pPr>
      <w:r>
        <w:rPr>
          <w:b/>
        </w:rPr>
        <w:t>Verificador de completitud</w:t>
      </w:r>
      <w:r>
        <w:t xml:space="preserve">: lista qué campos están completos/incompletos por sección (Cliente, Empleo, Empresa, Expediente) con </w:t>
      </w:r>
      <w:r>
        <w:rPr>
          <w:b/>
        </w:rPr>
        <w:t>enlaces directos de edición</w:t>
      </w:r>
      <w:r>
        <w:t xml:space="preserve"> y un porcentaje de completitud.</w:t>
      </w:r>
    </w:p>
    <w:p>
      <w:pPr>
        <w:pStyle w:val="Heading2"/>
      </w:pPr>
      <w:r>
        <w:rPr>
          <w:color w:val="374151"/>
        </w:rPr>
        <w:t>6.3 Flujo de documentos</w:t>
      </w:r>
    </w:p>
    <w:p>
      <w:pPr>
        <w:ind w:left="340"/>
      </w:pPr>
      <w:r>
        <w:rPr>
          <w:b/>
        </w:rPr>
        <w:t xml:space="preserve">1.  </w:t>
      </w:r>
      <w:r>
        <w:t>Elegir un machote del catálogo (o desde el expediente).</w:t>
      </w:r>
    </w:p>
    <w:p>
      <w:pPr>
        <w:ind w:left="340"/>
      </w:pPr>
      <w:r>
        <w:rPr>
          <w:b/>
        </w:rPr>
        <w:t xml:space="preserve">2.  </w:t>
      </w:r>
      <w:r>
        <w:rPr>
          <w:b/>
        </w:rPr>
        <w:t>Preparar</w:t>
      </w:r>
      <w:r>
        <w:t xml:space="preserve"> — ver qué datos faltan y corregirlos con un clic.</w:t>
      </w:r>
    </w:p>
    <w:p>
      <w:pPr>
        <w:ind w:left="340"/>
      </w:pPr>
      <w:r>
        <w:rPr>
          <w:b/>
        </w:rPr>
        <w:t xml:space="preserve">3.  </w:t>
      </w:r>
      <w:r>
        <w:rPr>
          <w:b/>
        </w:rPr>
        <w:t>Editar/vista previa</w:t>
      </w:r>
      <w:r>
        <w:t xml:space="preserve"> del documento renderizado en el navegador.</w:t>
      </w:r>
    </w:p>
    <w:p>
      <w:pPr>
        <w:ind w:left="340"/>
      </w:pPr>
      <w:r>
        <w:rPr>
          <w:b/>
        </w:rPr>
        <w:t xml:space="preserve">4.  </w:t>
      </w:r>
      <w:r>
        <w:rPr>
          <w:b/>
        </w:rPr>
        <w:t>Generar/descargar</w:t>
      </w:r>
      <w:r>
        <w:t xml:space="preserve"> como PDF.</w:t>
      </w:r>
    </w:p>
    <w:p>
      <w:pPr>
        <w:ind w:left="340"/>
      </w:pPr>
      <w:r>
        <w:rPr>
          <w:b/>
        </w:rPr>
        <w:t xml:space="preserve">5.  </w:t>
      </w:r>
      <w:r>
        <w:t xml:space="preserve">Opcionalmente </w:t>
      </w:r>
      <w:r>
        <w:rPr>
          <w:b/>
        </w:rPr>
        <w:t>guardar el documento editado como nuevo machote</w:t>
      </w:r>
      <w:r>
        <w:t xml:space="preserve"> (la biblioteca de plantillas del equipo crece de forma orgánica).</w:t>
      </w:r>
    </w:p>
    <w:p>
      <w:pPr>
        <w:pStyle w:val="Heading2"/>
      </w:pPr>
      <w:r>
        <w:rPr>
          <w:color w:val="374151"/>
        </w:rPr>
        <w:t>6.4 Importar machotes desde Word</w:t>
      </w:r>
    </w:p>
    <w:p>
      <w:pPr>
        <w:pStyle w:val="ListBullet"/>
      </w:pPr>
      <w:r>
        <w:t xml:space="preserve">Los archivos </w:t>
      </w:r>
      <w:r>
        <w:rPr>
          <w:rFonts w:ascii="Consolas" w:hAnsi="Consolas"/>
          <w:sz w:val="18"/>
          <w:shd w:val="clear" w:fill="EEF2FF"/>
        </w:rPr>
        <w:t>.docx</w:t>
      </w:r>
      <w:r>
        <w:t xml:space="preserve"> (ej. una carpeta con demandas existentes) se convierten en plantillas HTML mediante el comando </w:t>
      </w:r>
      <w:r>
        <w:rPr>
          <w:rFonts w:ascii="Consolas" w:hAnsi="Consolas"/>
          <w:sz w:val="18"/>
          <w:shd w:val="clear" w:fill="EEF2FF"/>
        </w:rPr>
        <w:t>importar_machotes</w:t>
      </w:r>
      <w:r>
        <w:t xml:space="preserve"> o la importación web, conservando los marcadores cuando es posible.</w:t>
      </w:r>
    </w:p>
    <w:p>
      <w:pPr>
        <w:pStyle w:val="ListBullet"/>
      </w:pPr>
      <w:r>
        <w:t>La biblioteca de plantillas se administra desde el admin de Django o desde la interfaz de machotes.</w:t>
      </w:r>
    </w:p>
    <w:p>
      <w:pPr>
        <w:pStyle w:val="Heading2"/>
      </w:pPr>
      <w:r>
        <w:rPr>
          <w:color w:val="374151"/>
        </w:rPr>
        <w:t>6.5 Generador de Demanda Laboral por capítulos</w:t>
      </w:r>
    </w:p>
    <w:p>
      <w:pPr>
        <w:pStyle w:val="ListBullet"/>
      </w:pPr>
      <w:r>
        <w:t xml:space="preserve">Genera una </w:t>
      </w:r>
      <w:r>
        <w:rPr>
          <w:b/>
        </w:rPr>
        <w:t>demanda laboral mexicana profesional</w:t>
      </w:r>
      <w:r>
        <w:t xml:space="preserve"> (Word </w:t>
      </w:r>
      <w:r>
        <w:rPr>
          <w:rFonts w:ascii="Consolas" w:hAnsi="Consolas"/>
          <w:sz w:val="18"/>
          <w:shd w:val="clear" w:fill="EEF2FF"/>
        </w:rPr>
        <w:t>.docx</w:t>
      </w:r>
      <w:r>
        <w:t>) con todos los datos del caso, cálculos integrados y formato listo para imprimir y firmar.</w:t>
      </w:r>
    </w:p>
    <w:p>
      <w:pPr>
        <w:pStyle w:val="ListBullet"/>
      </w:pPr>
      <w:r>
        <w:rPr>
          <w:b/>
        </w:rPr>
        <w:t>Espacio de trabajo en tres pantallas</w:t>
      </w:r>
      <w:r>
        <w:t xml:space="preserve"> (</w:t>
      </w:r>
      <w:r>
        <w:rPr>
          <w:rFonts w:ascii="Consolas" w:hAnsi="Consolas"/>
          <w:sz w:val="18"/>
          <w:shd w:val="clear" w:fill="EEF2FF"/>
        </w:rPr>
        <w:t>demanda_asistente</w:t>
      </w:r>
      <w:r>
        <w:t>), cada una con lo que le toca en lugar de un solo formulario con todo:</w:t>
      </w:r>
    </w:p>
    <w:p>
      <w:pPr>
        <w:pStyle w:val="ListBullet"/>
      </w:pPr>
      <w:r>
        <w:rPr>
          <w:rFonts w:ascii="Consolas" w:hAnsi="Consolas"/>
          <w:sz w:val="18"/>
          <w:shd w:val="clear" w:fill="EEF2FF"/>
        </w:rPr>
        <w:t>?espacio=datos</w:t>
      </w:r>
      <w:r>
        <w:t xml:space="preserve"> — actor (con domicilio para notificaciones), relación laboral, patrón y representación legal.</w:t>
      </w:r>
    </w:p>
    <w:p>
      <w:pPr>
        <w:pStyle w:val="ListBullet"/>
      </w:pPr>
      <w:r>
        <w:rPr>
          <w:rFonts w:ascii="Consolas" w:hAnsi="Consolas"/>
          <w:sz w:val="18"/>
          <w:shd w:val="clear" w:fill="EEF2FF"/>
        </w:rPr>
        <w:t>?espacio=estrategia</w:t>
      </w:r>
      <w:r>
        <w:t xml:space="preserve"> — tipo y modalidad de la separación, acción del artículo 48 LFT, situaciones que agregan hechos, confirmación del IMSS y las prestaciones por periodos con su cálculo y aprobación.</w:t>
      </w:r>
    </w:p>
    <w:p>
      <w:pPr>
        <w:pStyle w:val="ListBullet"/>
      </w:pPr>
      <w:r>
        <w:rPr>
          <w:rFonts w:ascii="Consolas" w:hAnsi="Consolas"/>
          <w:sz w:val="18"/>
          <w:shd w:val="clear" w:fill="EEF2FF"/>
        </w:rPr>
        <w:t>?espacio=documento</w:t>
      </w:r>
      <w:r>
        <w:t xml:space="preserve"> — el escrito real </w:t>
      </w:r>
      <w:r>
        <w:rPr>
          <w:b/>
        </w:rPr>
        <w:t>capítulo por capítulo</w:t>
      </w:r>
      <w:r>
        <w:t xml:space="preserve">, con los datos que faltan como </w:t>
      </w:r>
      <w:r>
        <w:rPr>
          <w:b/>
        </w:rPr>
        <w:t>huecos enlazados</w:t>
      </w:r>
      <w:r>
        <w:t xml:space="preserve"> al campo que los completa, el índice de capítulos con su estado y el panel de </w:t>
      </w:r>
      <w:r>
        <w:rPr>
          <w:b/>
        </w:rPr>
        <w:t>coherencia</w:t>
      </w:r>
      <w:r>
        <w:t xml:space="preserve"> (incluidas las sustituciones silenciosas del motor: jornada por defecto, domicilio del patrón, aviso atribuido a un genérico).</w:t>
      </w:r>
    </w:p>
    <w:p>
      <w:pPr>
        <w:pStyle w:val="ListBullet"/>
      </w:pPr>
      <w:r>
        <w:t xml:space="preserve">El </w:t>
      </w:r>
      <w:r>
        <w:rPr>
          <w:b/>
        </w:rPr>
        <w:t>estado</w:t>
      </w:r>
      <w:r>
        <w:t xml:space="preserve"> de la demanda es una sola fuente de verdad (</w:t>
      </w:r>
      <w:r>
        <w:rPr>
          <w:rFonts w:ascii="Consolas" w:hAnsi="Consolas"/>
          <w:sz w:val="18"/>
          <w:shd w:val="clear" w:fill="EEF2FF"/>
        </w:rPr>
        <w:t>expedientes/demanda_estado.py</w:t>
      </w:r>
      <w:r>
        <w:t>): alimenta el semáforo del encabezado, el estado de cada bloque, los huecos del documento y el guard de la descarga, para que no puedan contradecirse.</w:t>
      </w:r>
    </w:p>
    <w:p>
      <w:pPr>
        <w:pStyle w:val="ListBullet"/>
      </w:pPr>
      <w:r>
        <w:t xml:space="preserve">La descarga del </w:t>
      </w:r>
      <w:r>
        <w:rPr>
          <w:rFonts w:ascii="Consolas" w:hAnsi="Consolas"/>
          <w:sz w:val="18"/>
          <w:shd w:val="clear" w:fill="EEF2FF"/>
        </w:rPr>
        <w:t>.docx</w:t>
      </w:r>
      <w:r>
        <w:t xml:space="preserve"> (</w:t>
      </w:r>
      <w:r>
        <w:rPr>
          <w:rFonts w:ascii="Consolas" w:hAnsi="Consolas"/>
          <w:sz w:val="18"/>
          <w:shd w:val="clear" w:fill="EEF2FF"/>
        </w:rPr>
        <w:t>demanda_capitulos_descargar</w:t>
      </w:r>
      <w:r>
        <w:t xml:space="preserve">) </w:t>
      </w:r>
      <w:r>
        <w:rPr>
          <w:b/>
        </w:rPr>
        <w:t>sólo se habilita cuando no queda ningún requisito obligatorio</w:t>
      </w:r>
      <w:r>
        <w:t xml:space="preserve">: antes salía con </w:t>
      </w:r>
      <w:r>
        <w:rPr>
          <w:rFonts w:ascii="Consolas" w:hAnsi="Consolas"/>
          <w:sz w:val="18"/>
          <w:shd w:val="clear" w:fill="EEF2FF"/>
        </w:rPr>
        <w:t>[DOMICILIO PARA NOTIFICACIONES]</w:t>
      </w:r>
      <w:r>
        <w:t xml:space="preserve"> u otros marcadores dentro. Redactar el borrador nunca se bloquea.</w:t>
      </w:r>
    </w:p>
    <w:p>
      <w:pPr>
        <w:pStyle w:val="ListBullet"/>
      </w:pPr>
      <w:r>
        <w:t xml:space="preserve">Un </w:t>
      </w:r>
      <w:r>
        <w:rPr>
          <w:b/>
        </w:rPr>
        <w:t>generador directo</w:t>
      </w:r>
      <w:r>
        <w:t xml:space="preserve"> produce el documento en un solo clic y el editor permite retocar el texto antes de firmarlo.</w:t>
      </w:r>
    </w:p>
    <w:p>
      <w:pPr>
        <w:pStyle w:val="ListBullet"/>
      </w:pPr>
      <w:r>
        <w:t xml:space="preserve">Se descarga como </w:t>
      </w:r>
      <w:r>
        <w:rPr>
          <w:rFonts w:ascii="Consolas" w:hAnsi="Consolas"/>
          <w:sz w:val="18"/>
          <w:shd w:val="clear" w:fill="EEF2FF"/>
        </w:rPr>
        <w:t>.docx</w:t>
      </w:r>
      <w:r>
        <w:t xml:space="preserve"> para edición/firma.</w:t>
      </w:r>
    </w:p>
    <w:p>
      <w:pPr>
        <w:spacing w:before="80" w:after="80"/>
        <w:ind w:left="340"/>
      </w:pPr>
      <w:r>
        <w:rPr>
          <w:i/>
        </w:rPr>
        <w:t>El motor de redacción separa el HTML por capítulos (</w:t>
      </w:r>
      <w:r>
        <w:rPr>
          <w:i/>
        </w:rPr>
        <w:t>redaccion.salida.capitulos_html</w:t>
      </w:r>
      <w:r>
        <w:rPr>
          <w:i/>
        </w:rPr>
        <w:t xml:space="preserve">) para que la pantalla del documento pueda señalar en cuál falta algo. Los siete capítulos son los del estándar del despacho: ver </w:t>
      </w:r>
      <w:r>
        <w:rPr>
          <w:i/>
        </w:rPr>
        <w:t>docs/DEMANDA_POR_CAPITULOS.md</w:t>
      </w:r>
      <w:r>
        <w:rPr>
          <w:i/>
        </w:rPr>
        <w:t>.</w:t>
      </w:r>
    </w:p>
    <w:p>
      <w:pPr>
        <w:spacing w:after="0"/>
      </w:pPr>
    </w:p>
    <w:p>
      <w:pPr>
        <w:pStyle w:val="Heading1"/>
      </w:pPr>
      <w:r>
        <w:rPr>
          <w:color w:val="1A6B3C"/>
        </w:rPr>
        <w:t>7. Automatización de Conciliación (Portal de Baja California)</w:t>
      </w:r>
    </w:p>
    <w:p>
      <w:r>
        <w:t xml:space="preserve">El sistema se integra con el portal oficial </w:t>
      </w:r>
      <w:r>
        <w:rPr>
          <w:rFonts w:ascii="Consolas" w:hAnsi="Consolas"/>
          <w:sz w:val="18"/>
          <w:shd w:val="clear" w:fill="EEF2FF"/>
        </w:rPr>
        <w:t>app.conciliacionbc.gob.mx</w:t>
      </w:r>
      <w:r>
        <w:t xml:space="preserve"> en </w:t>
      </w:r>
      <w:r>
        <w:rPr>
          <w:b/>
        </w:rPr>
        <w:t>dos modos</w:t>
      </w:r>
      <w:r>
        <w:t>.</w:t>
      </w:r>
    </w:p>
    <w:p>
      <w:pPr>
        <w:pStyle w:val="Heading2"/>
      </w:pPr>
      <w:r>
        <w:rPr>
          <w:color w:val="374151"/>
        </w:rPr>
        <w:t>7.1 Automatización del lado del servidor (`conciliacion_automation.py` + Celery)</w:t>
      </w:r>
    </w:p>
    <w:p>
      <w:pPr>
        <w:pStyle w:val="ListBullet"/>
      </w:pPr>
      <w:r>
        <w:t>Llena el flujo real de varias fases del portal: aviso de privacidad → industria → fecha del conflicto y objeto → trabajador (solicitante) → empresa (citado) → descripción → envío.</w:t>
      </w:r>
    </w:p>
    <w:p>
      <w:pPr>
        <w:pStyle w:val="ListBullet"/>
      </w:pPr>
      <w:r>
        <w:t xml:space="preserve">Se ejecuta </w:t>
      </w:r>
      <w:r>
        <w:rPr>
          <w:b/>
        </w:rPr>
        <w:t>headless</w:t>
      </w:r>
      <w:r>
        <w:t xml:space="preserve"> (servidor) o en </w:t>
      </w:r>
      <w:r>
        <w:rPr>
          <w:b/>
        </w:rPr>
        <w:t>modo visible/debug</w:t>
      </w:r>
      <w:r>
        <w:t>.</w:t>
      </w:r>
    </w:p>
    <w:p>
      <w:pPr>
        <w:pStyle w:val="ListBullet"/>
      </w:pPr>
      <w:r>
        <w:t xml:space="preserve">Se ejecuta de forma asíncrona mediante un </w:t>
      </w:r>
      <w:r>
        <w:rPr>
          <w:b/>
        </w:rPr>
        <w:t>worker de Celery</w:t>
      </w:r>
      <w:r>
        <w:t xml:space="preserve"> (o fallback con threads si no hay Redis) para que las peticiones HTTP nunca expiren.</w:t>
      </w:r>
    </w:p>
    <w:p>
      <w:pPr>
        <w:pStyle w:val="ListBullet"/>
      </w:pPr>
      <w:r>
        <w:t>Página de progreso en vivo (</w:t>
      </w:r>
      <w:r>
        <w:rPr>
          <w:rFonts w:ascii="Consolas" w:hAnsi="Consolas"/>
          <w:sz w:val="18"/>
          <w:shd w:val="clear" w:fill="EEF2FF"/>
        </w:rPr>
        <w:t>conciliacion_procesando</w:t>
      </w:r>
      <w:r>
        <w:t xml:space="preserve">) que muestra </w:t>
      </w:r>
      <w:r>
        <w:rPr>
          <w:b/>
        </w:rPr>
        <w:t>capturas de pantalla del navegador</w:t>
      </w:r>
      <w:r>
        <w:t xml:space="preserve"> y el tiempo transcurrido; soporta reintentos.</w:t>
      </w:r>
    </w:p>
    <w:p>
      <w:pPr>
        <w:pStyle w:val="ListBullet"/>
      </w:pPr>
      <w:r>
        <w:t xml:space="preserve">Al completarse: captura el </w:t>
      </w:r>
      <w:r>
        <w:rPr>
          <w:b/>
        </w:rPr>
        <w:t>folio</w:t>
      </w:r>
      <w:r>
        <w:t xml:space="preserve">, guarda el </w:t>
      </w:r>
      <w:r>
        <w:rPr>
          <w:b/>
        </w:rPr>
        <w:t>PDF del acuse</w:t>
      </w:r>
      <w:r>
        <w:t xml:space="preserve"> en el expediente y marca la TareaConciliacion como completada con bitácoras completas.</w:t>
      </w:r>
    </w:p>
    <w:p>
      <w:pPr>
        <w:pStyle w:val="ListBullet"/>
      </w:pPr>
      <w:r>
        <w:t xml:space="preserve">Comando de gestión </w:t>
      </w:r>
      <w:r>
        <w:rPr>
          <w:rFonts w:ascii="Consolas" w:hAnsi="Consolas"/>
          <w:sz w:val="18"/>
          <w:shd w:val="clear" w:fill="EEF2FF"/>
        </w:rPr>
        <w:t>enviar_solicitud_conciliacion</w:t>
      </w:r>
      <w:r>
        <w:t xml:space="preserve"> para envíos por lotes/CLI.</w:t>
      </w:r>
    </w:p>
    <w:p>
      <w:pPr>
        <w:pStyle w:val="Heading2"/>
      </w:pPr>
      <w:r>
        <w:rPr>
          <w:color w:val="374151"/>
        </w:rPr>
        <w:t>7.2 Parser de acuse (`acuse_parser.py`)</w:t>
      </w:r>
    </w:p>
    <w:p>
      <w:r>
        <w:t xml:space="preserve">Cuando hay un PDF de acuse oficial disponible (descargado automáticamente o subido manualmente), el sistema </w:t>
      </w:r>
      <w:r>
        <w:rPr>
          <w:b/>
        </w:rPr>
        <w:t>extrae su texto con PyMuPDF</w:t>
      </w:r>
      <w:r>
        <w:t xml:space="preserve"> y autocompleta el expediente:</w:t>
      </w:r>
    </w:p>
    <w:p>
      <w:pPr>
        <w:pStyle w:val="ListBullet"/>
      </w:pPr>
      <w:r>
        <w:t xml:space="preserve">Folio (ej. </w:t>
      </w:r>
      <w:r>
        <w:rPr>
          <w:rFonts w:ascii="Consolas" w:hAnsi="Consolas"/>
          <w:sz w:val="18"/>
          <w:shd w:val="clear" w:fill="EEF2FF"/>
        </w:rPr>
        <w:t>TIJ/26427/2026</w:t>
      </w:r>
      <w:r>
        <w:t>), fecha de solicitud, solicitante, empresa citada, fecha del conflicto, objeto, unidad de conciliación.</w:t>
      </w:r>
    </w:p>
    <w:p>
      <w:pPr>
        <w:pStyle w:val="ListBullet"/>
      </w:pPr>
      <w:r>
        <w:rPr>
          <w:b/>
        </w:rPr>
        <w:t>Mapea el objeto de la conciliación → tipo de despido</w:t>
      </w:r>
      <w:r>
        <w:t xml:space="preserve"> (ej. "Despido" → injustificado).</w:t>
      </w:r>
    </w:p>
    <w:p>
      <w:pPr>
        <w:pStyle w:val="ListBullet"/>
      </w:pPr>
      <w:r>
        <w:rPr>
          <w:b/>
        </w:rPr>
        <w:t>Pantalla de vista previa</w:t>
      </w:r>
      <w:r>
        <w:t xml:space="preserve"> que compara los valores detectados con los actuales (marcando los nuevos o los que difieren) y permite al asesor </w:t>
      </w:r>
      <w:r>
        <w:rPr>
          <w:b/>
        </w:rPr>
        <w:t>confirmar</w:t>
      </w:r>
      <w:r>
        <w:t xml:space="preserve"> antes de guardar.</w:t>
      </w:r>
    </w:p>
    <w:p>
      <w:pPr>
        <w:pStyle w:val="Heading2"/>
      </w:pPr>
      <w:r>
        <w:rPr>
          <w:color w:val="374151"/>
        </w:rPr>
        <w:t>7.3 Extensión de Chrome — "Conciliación BC Asistente"</w:t>
      </w:r>
    </w:p>
    <w:p>
      <w:r>
        <w:t xml:space="preserve">Para cuando se detecta navegación automatizada o hay que resolver un CAPTCHA a mano, la </w:t>
      </w:r>
      <w:r>
        <w:rPr>
          <w:b/>
        </w:rPr>
        <w:t>extensión de Chrome complementaria (Manifest V3)</w:t>
      </w:r>
      <w:r>
        <w:t xml:space="preserve"> llena el formulario del portal </w:t>
      </w:r>
      <w:r>
        <w:rPr>
          <w:b/>
        </w:rPr>
        <w:t>en el navegador del propio asesor</w:t>
      </w:r>
      <w:r>
        <w:t>:</w:t>
      </w:r>
    </w:p>
    <w:p>
      <w:pPr>
        <w:pStyle w:val="ListBullet"/>
      </w:pPr>
      <w:r>
        <w:t>El asesor hace clic en *Enviar a Conciliación → Desde mi navegador (Extensión de Chrome)*.</w:t>
      </w:r>
    </w:p>
    <w:p>
      <w:pPr>
        <w:pStyle w:val="ListBullet"/>
      </w:pPr>
      <w:r>
        <w:t>La extensión muestra las tareas pendientes (número de expediente, cliente, empresa, CURP) en su popup.</w:t>
      </w:r>
    </w:p>
    <w:p>
      <w:pPr>
        <w:pStyle w:val="ListBullet"/>
      </w:pPr>
      <w:r>
        <w:rPr>
          <w:b/>
        </w:rPr>
        <w:t>🚀 Llenar en el portal</w:t>
      </w:r>
      <w:r>
        <w:t xml:space="preserve"> abre el portal con el formulario </w:t>
      </w:r>
      <w:r>
        <w:rPr>
          <w:b/>
        </w:rPr>
        <w:t>ya llenado</w:t>
      </w:r>
      <w:r>
        <w:t xml:space="preserve"> (aviso de privacidad, industria, fechas, trabajador, empresa, descripción) mediante un content script — el portal ve una sesión dirigida por una persona.</w:t>
      </w:r>
    </w:p>
    <w:p>
      <w:pPr>
        <w:pStyle w:val="ListBullet"/>
      </w:pPr>
      <w:r>
        <w:t>El asesor revisa, resuelve CAPTCHAs en vivo y hace clic en *Enviar solicitud* él mismo.</w:t>
      </w:r>
    </w:p>
    <w:p>
      <w:pPr>
        <w:pStyle w:val="ListBullet"/>
      </w:pPr>
      <w:r>
        <w:rPr>
          <w:b/>
        </w:rPr>
        <w:t>🔍 Ya envié, detectar acuse</w:t>
      </w:r>
      <w:r>
        <w:t xml:space="preserve"> — la extensión detecta el folio, descarga el PDF del acuse, toma una captura de pantalla y </w:t>
      </w:r>
      <w:r>
        <w:rPr>
          <w:b/>
        </w:rPr>
        <w:t>reporta todo a la API de la aplicación</w:t>
      </w:r>
      <w:r>
        <w:t xml:space="preserve"> (autenticada con el token personal del usuario), adjuntando el PDF al expediente.</w:t>
      </w:r>
    </w:p>
    <w:p>
      <w:pPr>
        <w:pStyle w:val="ListBullet"/>
      </w:pPr>
      <w:r>
        <w:t>Pantalla de opciones que guarda la URL de la app + token y verifica la conexión.</w:t>
      </w:r>
    </w:p>
    <w:p>
      <w:pPr>
        <w:pStyle w:val="ListBullet"/>
      </w:pPr>
      <w:r>
        <w:t xml:space="preserve">El paquete de la extensión se puede </w:t>
      </w:r>
      <w:r>
        <w:rPr>
          <w:b/>
        </w:rPr>
        <w:t>descargar como .zip</w:t>
      </w:r>
      <w:r>
        <w:t xml:space="preserve"> desde la app (</w:t>
      </w:r>
      <w:r>
        <w:rPr>
          <w:rFonts w:ascii="Consolas" w:hAnsi="Consolas"/>
          <w:sz w:val="18"/>
          <w:shd w:val="clear" w:fill="EEF2FF"/>
        </w:rPr>
        <w:t>/extension/descargar/</w:t>
      </w:r>
      <w:r>
        <w:t>), listo para cargarse descomprimido en Chrome.</w:t>
      </w:r>
    </w:p>
    <w:p>
      <w:pPr>
        <w:pStyle w:val="Heading2"/>
      </w:pPr>
      <w:r>
        <w:rPr>
          <w:color w:val="374151"/>
        </w:rPr>
        <w:t>7.4 Fallbacks manuales</w:t>
      </w:r>
    </w:p>
    <w:p>
      <w:pPr>
        <w:pStyle w:val="ListBullet"/>
      </w:pPr>
      <w:r>
        <w:t>Subir el PDF del acuse manualmente (</w:t>
      </w:r>
      <w:r>
        <w:rPr>
          <w:rFonts w:ascii="Consolas" w:hAnsi="Consolas"/>
          <w:sz w:val="18"/>
          <w:shd w:val="clear" w:fill="EEF2FF"/>
        </w:rPr>
        <w:t>subir-conciliacion</w:t>
      </w:r>
      <w:r>
        <w:t>) y luego previsualizar/ confirmar los datos parseados.</w:t>
      </w:r>
    </w:p>
    <w:p>
      <w:pPr>
        <w:pStyle w:val="ListBullet"/>
      </w:pPr>
      <w:r>
        <w:t xml:space="preserve">Descargar un </w:t>
      </w:r>
      <w:r>
        <w:rPr>
          <w:b/>
        </w:rPr>
        <w:t>formulario de conciliación prellenado (PDF)</w:t>
      </w:r>
      <w:r>
        <w:t xml:space="preserve"> para presentarlo manualmente en el centro.</w:t>
      </w:r>
    </w:p>
    <w:p>
      <w:pPr>
        <w:pStyle w:val="ListBullet"/>
      </w:pPr>
      <w:r>
        <w:t>Subir el acuse mediante el flujo normal de documentos.</w:t>
      </w:r>
    </w:p>
    <w:p>
      <w:pPr>
        <w:spacing w:after="0"/>
      </w:pPr>
    </w:p>
    <w:p>
      <w:pPr>
        <w:pStyle w:val="Heading1"/>
      </w:pPr>
      <w:r>
        <w:rPr>
          <w:color w:val="1A6B3C"/>
        </w:rPr>
        <w:t>8. Integración con WhatsApp</w:t>
      </w:r>
    </w:p>
    <w:p>
      <w:r>
        <w:t>Dos métodos de envío:</w:t>
      </w:r>
    </w:p>
    <w:p>
      <w:pPr>
        <w:ind w:left="340"/>
      </w:pPr>
      <w:r>
        <w:rPr>
          <w:b/>
        </w:rPr>
        <w:t xml:space="preserve">1.  </w:t>
      </w:r>
      <w:r>
        <w:rPr>
          <w:b/>
        </w:rPr>
        <w:t>Deep links (wa.me)</w:t>
      </w:r>
      <w:r>
        <w:t xml:space="preserve"> — gratis; abre WhatsApp con un mensaje pre-llenado.</w:t>
      </w:r>
    </w:p>
    <w:p>
      <w:pPr>
        <w:ind w:left="340"/>
      </w:pPr>
      <w:r>
        <w:rPr>
          <w:b/>
        </w:rPr>
        <w:t xml:space="preserve">2.  </w:t>
      </w:r>
      <w:r>
        <w:rPr>
          <w:b/>
        </w:rPr>
        <w:t>API de WhatsApp de Twilio</w:t>
      </w:r>
      <w:r>
        <w:t xml:space="preserve"> — mensajes enviados desde el servidor (requiere credenciales de Twilio); cae automáticamente al deep link cuando no está configurado.</w:t>
      </w:r>
    </w:p>
    <w:p>
      <w:pPr>
        <w:pStyle w:val="Heading2"/>
      </w:pPr>
      <w:r>
        <w:rPr>
          <w:color w:val="374151"/>
        </w:rPr>
        <w:t>Funcionalidades</w:t>
      </w:r>
    </w:p>
    <w:p>
      <w:pPr>
        <w:pStyle w:val="ListBullet"/>
      </w:pPr>
      <w:r>
        <w:rPr>
          <w:b/>
        </w:rPr>
        <w:t>Plantillas</w:t>
      </w:r>
      <w:r>
        <w:t xml:space="preserve"> para: recordatorio de audiencia, citatorio, seguimiento de convenio, seguimiento general, solicitud de documentos y mensajes personalizados — con variables (</w:t>
      </w:r>
      <w:r>
        <w:rPr>
          <w:rFonts w:ascii="Consolas" w:hAnsi="Consolas"/>
          <w:sz w:val="18"/>
          <w:shd w:val="clear" w:fill="EEF2FF"/>
        </w:rPr>
        <w:t>{cliente}</w:t>
      </w:r>
      <w:r>
        <w:t xml:space="preserve">, </w:t>
      </w:r>
      <w:r>
        <w:rPr>
          <w:rFonts w:ascii="Consolas" w:hAnsi="Consolas"/>
          <w:sz w:val="18"/>
          <w:shd w:val="clear" w:fill="EEF2FF"/>
        </w:rPr>
        <w:t>{fecha}</w:t>
      </w:r>
      <w:r>
        <w:t xml:space="preserve">, </w:t>
      </w:r>
      <w:r>
        <w:rPr>
          <w:rFonts w:ascii="Consolas" w:hAnsi="Consolas"/>
          <w:sz w:val="18"/>
          <w:shd w:val="clear" w:fill="EEF2FF"/>
        </w:rPr>
        <w:t>{asesor}</w:t>
      </w:r>
      <w:r>
        <w:t>…).</w:t>
      </w:r>
    </w:p>
    <w:p>
      <w:pPr>
        <w:pStyle w:val="ListBullet"/>
      </w:pPr>
      <w:r>
        <w:rPr>
          <w:b/>
        </w:rPr>
        <w:t>Mensajes automáticos por cambio de estado</w:t>
      </w:r>
      <w:r>
        <w:t>: cada estado del expediente tiene un mensaje configurado (caso nuevo, solicitud creada, citatorio, audiencia, no notificado, reprogramación, convenio, sin conciliación, demanda, cerrado). Interruptor por caso para activar/desactivar.</w:t>
      </w:r>
    </w:p>
    <w:p>
      <w:pPr>
        <w:pStyle w:val="ListBullet"/>
      </w:pPr>
      <w:r>
        <w:rPr>
          <w:b/>
        </w:rPr>
        <w:t>Historial de mensajes</w:t>
      </w:r>
      <w:r>
        <w:t xml:space="preserve"> por caso con estado (pendiente/enviado/fallido), canal y bitácoras de error.</w:t>
      </w:r>
    </w:p>
    <w:p>
      <w:pPr>
        <w:pStyle w:val="ListBullet"/>
      </w:pPr>
      <w:r>
        <w:t>Normalización de números mexicanos (agrega el código de país 52 y limpia formatos comunes).</w:t>
      </w:r>
    </w:p>
    <w:p>
      <w:pPr>
        <w:pStyle w:val="ListBullet"/>
      </w:pPr>
      <w:r>
        <w:t xml:space="preserve">Comando de gestión </w:t>
      </w:r>
      <w:r>
        <w:rPr>
          <w:rFonts w:ascii="Consolas" w:hAnsi="Consolas"/>
          <w:sz w:val="18"/>
          <w:shd w:val="clear" w:fill="EEF2FF"/>
        </w:rPr>
        <w:t>enviar_whatsapp_automatico</w:t>
      </w:r>
      <w:r>
        <w:t xml:space="preserve"> para vaciar mensajes pendientes (con opciones </w:t>
      </w:r>
      <w:r>
        <w:rPr>
          <w:rFonts w:ascii="Consolas" w:hAnsi="Consolas"/>
          <w:sz w:val="18"/>
          <w:shd w:val="clear" w:fill="EEF2FF"/>
        </w:rPr>
        <w:t>--dry-run</w:t>
      </w:r>
      <w:r>
        <w:t xml:space="preserve"> y </w:t>
      </w:r>
      <w:r>
        <w:rPr>
          <w:rFonts w:ascii="Consolas" w:hAnsi="Consolas"/>
          <w:sz w:val="18"/>
          <w:shd w:val="clear" w:fill="EEF2FF"/>
        </w:rPr>
        <w:t>--send-twilio</w:t>
      </w:r>
      <w:r>
        <w:t>).</w:t>
      </w:r>
    </w:p>
    <w:p>
      <w:pPr>
        <w:spacing w:after="0"/>
      </w:pPr>
    </w:p>
    <w:p>
      <w:pPr>
        <w:pStyle w:val="Heading1"/>
      </w:pPr>
      <w:r>
        <w:rPr>
          <w:color w:val="1A6B3C"/>
        </w:rPr>
        <w:t>9. Importaciones y utilidades</w:t>
      </w:r>
    </w:p>
    <w:p>
      <w:pPr>
        <w:pStyle w:val="Heading2"/>
      </w:pPr>
      <w:r>
        <w:rPr>
          <w:color w:val="374151"/>
        </w:rPr>
        <w:t>9.1 Importación CLT (citas desde Excel)</w:t>
      </w:r>
    </w:p>
    <w:p>
      <w:r>
        <w:t xml:space="preserve">El archivo </w:t>
      </w:r>
      <w:r>
        <w:rPr>
          <w:rFonts w:ascii="Consolas" w:hAnsi="Consolas"/>
          <w:sz w:val="18"/>
          <w:shd w:val="clear" w:fill="EEF2FF"/>
        </w:rPr>
        <w:t>CLT.xlsx</w:t>
      </w:r>
      <w:r>
        <w:t xml:space="preserve"> (citas de conciliación pre-programadas del CCL) se importa como </w:t>
      </w:r>
      <w:r>
        <w:rPr>
          <w:b/>
        </w:rPr>
        <w:t>expedientes con audiencias programadas</w:t>
      </w:r>
      <w:r>
        <w:t>:</w:t>
      </w:r>
    </w:p>
    <w:p>
      <w:pPr>
        <w:pStyle w:val="ListBullet"/>
      </w:pPr>
      <w:r>
        <w:t xml:space="preserve">Importación por hoja (ej. pestañas mensuales), </w:t>
      </w:r>
      <w:r>
        <w:rPr>
          <w:b/>
        </w:rPr>
        <w:t>creación automática de usuarios asesores</w:t>
      </w:r>
      <w:r>
        <w:t xml:space="preserve"> encontrados en el archivo si es necesario, y opciones de limpieza para datos de prueba.</w:t>
      </w:r>
    </w:p>
    <w:p>
      <w:pPr>
        <w:pStyle w:val="ListBullet"/>
      </w:pPr>
      <w:r>
        <w:t>La CURP es opcional al importar y se captura después (para que los números fluyan rápido).</w:t>
      </w:r>
    </w:p>
    <w:p>
      <w:pPr>
        <w:pStyle w:val="Heading2"/>
      </w:pPr>
      <w:r>
        <w:rPr>
          <w:color w:val="374151"/>
        </w:rPr>
        <w:t>9.2 Catálogo de empresas (`Empresa`)</w:t>
      </w:r>
    </w:p>
    <w:p>
      <w:pPr>
        <w:pStyle w:val="ListBullet"/>
      </w:pPr>
      <w:r>
        <w:t xml:space="preserve">Importación desde </w:t>
      </w:r>
      <w:r>
        <w:rPr>
          <w:rFonts w:ascii="Consolas" w:hAnsi="Consolas"/>
          <w:sz w:val="18"/>
          <w:shd w:val="clear" w:fill="EEF2FF"/>
        </w:rPr>
        <w:t>Empresas y Domicilios.xlsx</w:t>
      </w:r>
      <w:r>
        <w:t xml:space="preserve"> — </w:t>
      </w:r>
      <w:r>
        <w:rPr>
          <w:b/>
        </w:rPr>
        <w:t>idempotente</w:t>
      </w:r>
      <w:r>
        <w:t>, nombres normalizados (mayúsculas, sin acentos, espacios compactados) para que reimportar un archivo en crecimiento nunca duplique registros.</w:t>
      </w:r>
    </w:p>
    <w:p>
      <w:pPr>
        <w:pStyle w:val="ListBullet"/>
      </w:pPr>
      <w:r>
        <w:t xml:space="preserve">Tipo de persona detectado automáticamente; el domicilio desglosado se usa para el </w:t>
      </w:r>
      <w:r>
        <w:rPr>
          <w:b/>
        </w:rPr>
        <w:t>autocompletado en el formulario de cliente</w:t>
      </w:r>
      <w:r>
        <w:t xml:space="preserve"> (endpoint AJAX </w:t>
      </w:r>
      <w:r>
        <w:rPr>
          <w:rFonts w:ascii="Consolas" w:hAnsi="Consolas"/>
          <w:sz w:val="18"/>
          <w:shd w:val="clear" w:fill="EEF2FF"/>
        </w:rPr>
        <w:t>empresas/buscar/</w:t>
      </w:r>
      <w:r>
        <w:t>).</w:t>
      </w:r>
    </w:p>
    <w:p>
      <w:pPr>
        <w:pStyle w:val="Heading2"/>
      </w:pPr>
      <w:r>
        <w:rPr>
          <w:color w:val="374151"/>
        </w:rPr>
        <w:t>9.3 Generador de CURP</w:t>
      </w:r>
    </w:p>
    <w:p>
      <w:r>
        <w:t xml:space="preserve">Herramienta independiente para </w:t>
      </w:r>
      <w:r>
        <w:rPr>
          <w:b/>
        </w:rPr>
        <w:t>generar una CURP válida</w:t>
      </w:r>
      <w:r>
        <w:t xml:space="preserve"> a partir de los datos personales (nombre, fecha de nacimiento, género, estado) — ahorra búsquedas manuales al dar de alta clientes.</w:t>
      </w:r>
    </w:p>
    <w:p>
      <w:pPr>
        <w:pStyle w:val="Heading2"/>
      </w:pPr>
      <w:r>
        <w:rPr>
          <w:color w:val="374151"/>
        </w:rPr>
        <w:t>9.4 Ajustes del usuario</w:t>
      </w:r>
    </w:p>
    <w:p>
      <w:r>
        <w:t>Página de ajustes por usuario: información del perfil, teléfono, preferencia de automatización de WhatsApp, gestión del token de API y configuración de la extensión.</w:t>
      </w:r>
    </w:p>
    <w:p>
      <w:pPr>
        <w:spacing w:after="0"/>
      </w:pPr>
    </w:p>
    <w:p>
      <w:pPr>
        <w:pStyle w:val="Heading1"/>
      </w:pPr>
      <w:r>
        <w:rPr>
          <w:color w:val="1A6B3C"/>
        </w:rPr>
        <w:t>10. Módulo de Finanzas</w:t>
      </w:r>
    </w:p>
    <w:p>
      <w:r>
        <w:t xml:space="preserve">Organizado por </w:t>
      </w:r>
      <w:r>
        <w:rPr>
          <w:b/>
        </w:rPr>
        <w:t>oficina</w:t>
      </w:r>
      <w:r>
        <w:t xml:space="preserve"> (sucursal) y por </w:t>
      </w:r>
      <w:r>
        <w:rPr>
          <w:b/>
        </w:rPr>
        <w:t>semana de trabajo</w:t>
      </w:r>
      <w:r>
        <w:t xml:space="preserve"> para reportes operativos.</w:t>
      </w:r>
    </w:p>
    <w:p>
      <w:pPr>
        <w:pStyle w:val="Heading2"/>
      </w:pPr>
      <w:r>
        <w:rPr>
          <w:color w:val="374151"/>
        </w:rPr>
        <w:t>10.1 Oficinas</w:t>
      </w:r>
    </w:p>
    <w:p>
      <w:r>
        <w:t>Catálogo de oficinas del despacho con dirección, teléfono, responsable y bandera de activa. Cada oficina tiene su propia operación de ingresos/gastos/caja diaria.</w:t>
      </w:r>
    </w:p>
    <w:p>
      <w:pPr>
        <w:pStyle w:val="Heading2"/>
      </w:pPr>
      <w:r>
        <w:rPr>
          <w:color w:val="374151"/>
        </w:rPr>
        <w:t>10.2 Semanas de trabajo</w:t>
      </w:r>
    </w:p>
    <w:p>
      <w:r>
        <w:t xml:space="preserve">El sistema financiero gira alrededor de </w:t>
      </w:r>
      <w:r>
        <w:rPr>
          <w:b/>
        </w:rPr>
        <w:t>semanas</w:t>
      </w:r>
      <w:r>
        <w:t xml:space="preserve"> (lunes–domingo): la semana actual se crea automáticamente; cada movimiento se puede atribuir a una semana. Las semanas se pueden abrir/cerrar. Totales por semana: </w:t>
      </w:r>
      <w:r>
        <w:rPr>
          <w:b/>
        </w:rPr>
        <w:t>ingresos</w:t>
      </w:r>
      <w:r>
        <w:t xml:space="preserve"> (caja + pagos de convenios), </w:t>
      </w:r>
      <w:r>
        <w:rPr>
          <w:b/>
        </w:rPr>
        <w:t>gastos</w:t>
      </w:r>
      <w:r>
        <w:t xml:space="preserve"> (caja + gastos + nómina) y </w:t>
      </w:r>
      <w:r>
        <w:rPr>
          <w:b/>
        </w:rPr>
        <w:t>balance</w:t>
      </w:r>
      <w:r>
        <w:t>, calculados dinámicamente.</w:t>
      </w:r>
    </w:p>
    <w:p>
      <w:pPr>
        <w:pStyle w:val="Heading2"/>
      </w:pPr>
      <w:r>
        <w:rPr>
          <w:color w:val="374151"/>
        </w:rPr>
        <w:t>10.3 Pagos de convenios (`SettlementPayment`)</w:t>
      </w:r>
    </w:p>
    <w:p>
      <w:r>
        <w:t>Pagos recibidos por acuerdos (convenios): fecha, cliente, expediente, monto, forma de pago (efectivo/transferencia/cheque/tarjeta crédito/tarjeta débito/depósito/otro), oficina, notas y responsable del registro.</w:t>
      </w:r>
    </w:p>
    <w:p>
      <w:pPr>
        <w:pStyle w:val="Heading2"/>
      </w:pPr>
      <w:r>
        <w:rPr>
          <w:color w:val="374151"/>
        </w:rPr>
        <w:t>10.4 Gastos (`Expense`)</w:t>
      </w:r>
    </w:p>
    <w:p>
      <w:r>
        <w:t>Gastos operativos por oficina con categoría (renta, luz, agua, internet, teléfono, papelería, publicidad, sueldos, gasolina, mantenimiento, impuestos, equipo, muebles, seguros, honorarios, otro), proveedor, folio fiscal/factura y responsable del registro.</w:t>
      </w:r>
    </w:p>
    <w:p>
      <w:pPr>
        <w:pStyle w:val="Heading2"/>
      </w:pPr>
      <w:r>
        <w:rPr>
          <w:color w:val="374151"/>
        </w:rPr>
        <w:t>10.5 Convenios y honorarios (`Agreement` / `Honorario`)</w:t>
      </w:r>
    </w:p>
    <w:p>
      <w:pPr>
        <w:pStyle w:val="ListBullet"/>
      </w:pPr>
      <w:r>
        <w:rPr>
          <w:b/>
        </w:rPr>
        <w:t>Convenios</w:t>
      </w:r>
      <w:r>
        <w:t xml:space="preserve"> con el cliente: monto, estado (pendiente de firma → firmado → pagado / pagado parcialmente / cancelado), responsable, oficina y </w:t>
      </w:r>
      <w:r>
        <w:rPr>
          <w:b/>
        </w:rPr>
        <w:t>total de honorarios automático</w:t>
      </w:r>
      <w:r>
        <w:t>.</w:t>
      </w:r>
    </w:p>
    <w:p>
      <w:pPr>
        <w:pStyle w:val="ListBullet"/>
      </w:pPr>
      <w:r>
        <w:rPr>
          <w:b/>
        </w:rPr>
        <w:t>Honorarios:</w:t>
      </w:r>
      <w:r>
        <w:t xml:space="preserve"> una o varias partidas por convenio con un </w:t>
      </w:r>
      <w:r>
        <w:rPr>
          <w:b/>
        </w:rPr>
        <w:t>% de tarifa</w:t>
      </w:r>
      <w:r>
        <w:t xml:space="preserve"> (25/30/35/40/50%); el monto se calcula automáticamente (</w:t>
      </w:r>
      <w:r>
        <w:rPr>
          <w:rFonts w:ascii="Consolas" w:hAnsi="Consolas"/>
          <w:sz w:val="18"/>
          <w:shd w:val="clear" w:fill="EEF2FF"/>
        </w:rPr>
        <w:t>convenio × % ÷ 100</w:t>
      </w:r>
      <w:r>
        <w:t>), con fechas estimada/pagada y sumas de pagado/pendiente agregadas en el convenio.</w:t>
      </w:r>
    </w:p>
    <w:p>
      <w:pPr>
        <w:pStyle w:val="Heading2"/>
      </w:pPr>
      <w:r>
        <w:rPr>
          <w:color w:val="374151"/>
        </w:rPr>
        <w:t>10.6 Comisiones (`Commission`)</w:t>
      </w:r>
    </w:p>
    <w:p>
      <w:r>
        <w:t xml:space="preserve">Comisiones de asesores sobre convenios cerrados: % configurable, </w:t>
      </w:r>
      <w:r>
        <w:rPr>
          <w:b/>
        </w:rPr>
        <w:t>monto calculado automáticamente</w:t>
      </w:r>
      <w:r>
        <w:t>, estado (pendiente/pagada/cancelada), fecha de pago, oficina y responsable del registro.</w:t>
      </w:r>
    </w:p>
    <w:p>
      <w:pPr>
        <w:pStyle w:val="Heading2"/>
      </w:pPr>
      <w:r>
        <w:rPr>
          <w:color w:val="374151"/>
        </w:rPr>
        <w:t>10.7 Empleados y nómina (`Employee` / `Payroll`)</w:t>
      </w:r>
    </w:p>
    <w:p>
      <w:pPr>
        <w:pStyle w:val="ListBullet"/>
      </w:pPr>
      <w:r>
        <w:t>Catálogo de empleados con puesto (administrativo, asesor jurídico, supervisor, contador, recepcionista, auxiliar, director…), periodo de pago, salario, oficina y bandera de activo.</w:t>
      </w:r>
    </w:p>
    <w:p>
      <w:pPr>
        <w:pStyle w:val="ListBullet"/>
      </w:pPr>
      <w:r>
        <w:rPr>
          <w:b/>
        </w:rPr>
        <w:t>Pagos de nómina</w:t>
      </w:r>
      <w:r>
        <w:t xml:space="preserve"> por período: tipo de período (semanal/quincenal/mensual/ extraordinario/aguinaldo/prima vacacional/bono), rango del período, salario pagado, descuentos (ISR/IMSS) y </w:t>
      </w:r>
      <w:r>
        <w:rPr>
          <w:b/>
        </w:rPr>
        <w:t>total calculado automáticamente</w:t>
      </w:r>
      <w:r>
        <w:t xml:space="preserve"> (</w:t>
      </w:r>
      <w:r>
        <w:rPr>
          <w:rFonts w:ascii="Consolas" w:hAnsi="Consolas"/>
          <w:sz w:val="18"/>
          <w:shd w:val="clear" w:fill="EEF2FF"/>
        </w:rPr>
        <w:t>salario − descuentos</w:t>
      </w:r>
      <w:r>
        <w:t>), oficina y responsable del registro.</w:t>
      </w:r>
    </w:p>
    <w:p>
      <w:pPr>
        <w:pStyle w:val="Heading2"/>
      </w:pPr>
      <w:r>
        <w:rPr>
          <w:color w:val="374151"/>
        </w:rPr>
        <w:t>10.8 Caja diaria (`CashMovement`)</w:t>
      </w:r>
    </w:p>
    <w:p>
      <w:r>
        <w:t xml:space="preserve">Movimientos de caja por oficina y fecha: </w:t>
      </w:r>
      <w:r>
        <w:rPr>
          <w:b/>
        </w:rPr>
        <w:t>ingresos</w:t>
      </w:r>
      <w:r>
        <w:t xml:space="preserve"> (pago de convenio, pago de cliente, anticipo, devolución, otro) o </w:t>
      </w:r>
      <w:r>
        <w:rPr>
          <w:b/>
        </w:rPr>
        <w:t>egresos</w:t>
      </w:r>
      <w:r>
        <w:t xml:space="preserve"> (papelería, gasolina, renta, luz, agua, internet, teléfono, viáticos, comisiones, honorarios, otro). La coherencia entre categoría y tipo se </w:t>
      </w:r>
      <w:r>
        <w:rPr>
          <w:b/>
        </w:rPr>
        <w:t>valida</w:t>
      </w:r>
      <w:r>
        <w:t xml:space="preserve"> (ej. un ingreso no puede tener categoría de egreso). El campo de referencia vincula el movimiento al expediente/factura.</w:t>
      </w:r>
    </w:p>
    <w:p>
      <w:pPr>
        <w:pStyle w:val="Heading2"/>
      </w:pPr>
      <w:r>
        <w:rPr>
          <w:color w:val="374151"/>
        </w:rPr>
        <w:t>10.9 Socios, préstamos y distribución de utilidades</w:t>
      </w:r>
    </w:p>
    <w:p>
      <w:pPr>
        <w:pStyle w:val="ListBullet"/>
      </w:pPr>
      <w:r>
        <w:rPr>
          <w:b/>
        </w:rPr>
        <w:t>Socios (`Partner`):</w:t>
      </w:r>
      <w:r>
        <w:t xml:space="preserve"> % de participación por socio para el reparto de utilidades.</w:t>
      </w:r>
    </w:p>
    <w:p>
      <w:pPr>
        <w:pStyle w:val="ListBullet"/>
      </w:pPr>
      <w:r>
        <w:rPr>
          <w:b/>
        </w:rPr>
        <w:t>Préstamos entre socios (`PartnerLoan`):</w:t>
      </w:r>
      <w:r>
        <w:t xml:space="preserve"> registro formal de préstamos entre socios (origen → destino, monto, concepto, estado, saldo pendiente), que reemplaza las notas informales tipo "le debo a…".</w:t>
      </w:r>
    </w:p>
    <w:p>
      <w:pPr>
        <w:pStyle w:val="ListBullet"/>
      </w:pPr>
      <w:r>
        <w:rPr>
          <w:b/>
        </w:rPr>
        <w:t>Distribución de utilidades (`ProfitDistribution` + `PartnerProfit`):</w:t>
      </w:r>
    </w:p>
    <w:p>
      <w:pPr>
        <w:pStyle w:val="ListBullet"/>
      </w:pPr>
      <w:r>
        <w:t xml:space="preserve">Calcula automáticamente la </w:t>
      </w:r>
      <w:r>
        <w:rPr>
          <w:b/>
        </w:rPr>
        <w:t>utilidad neta</w:t>
      </w:r>
      <w:r>
        <w:t xml:space="preserve"> = monto del convenio − honorarios − comisiones − retenciones − gastos relacionados.</w:t>
      </w:r>
    </w:p>
    <w:p>
      <w:pPr>
        <w:pStyle w:val="ListBullet"/>
      </w:pPr>
      <w:r>
        <w:t>La distribuye entre los socios según su % de participación (</w:t>
      </w:r>
      <w:r>
        <w:rPr>
          <w:b/>
        </w:rPr>
        <w:t>participación individual calculada automáticamente</w:t>
      </w:r>
      <w:r>
        <w:t>), con estados (borrador → distribuida → confirmada/cancelada).</w:t>
      </w:r>
    </w:p>
    <w:p>
      <w:pPr>
        <w:pStyle w:val="ListBullet"/>
      </w:pPr>
      <w:r>
        <w:rPr>
          <w:b/>
        </w:rPr>
        <w:t>Resúmenes acumulados por socio</w:t>
      </w:r>
      <w:r>
        <w:t xml:space="preserve"> (generada / pagada / pendiente) que se actualizan automáticamente al confirmar distribuciones.</w:t>
      </w:r>
    </w:p>
    <w:p>
      <w:pPr>
        <w:pStyle w:val="Heading2"/>
      </w:pPr>
      <w:r>
        <w:rPr>
          <w:color w:val="374151"/>
        </w:rPr>
        <w:t>10.10 Dashboard financiero</w:t>
      </w:r>
    </w:p>
    <w:p>
      <w:pPr>
        <w:pStyle w:val="ListBullet"/>
      </w:pPr>
      <w:r>
        <w:t xml:space="preserve">KPIs por oficina y globales; </w:t>
      </w:r>
      <w:r>
        <w:rPr>
          <w:b/>
        </w:rPr>
        <w:t>flujo de caja mensual</w:t>
      </w:r>
      <w:r>
        <w:t xml:space="preserve"> con gráfica alimentada por el endpoint JSON </w:t>
      </w:r>
      <w:r>
        <w:rPr>
          <w:rFonts w:ascii="Consolas" w:hAnsi="Consolas"/>
          <w:sz w:val="18"/>
          <w:shd w:val="clear" w:fill="EEF2FF"/>
        </w:rPr>
        <w:t>api_flujo_mensual</w:t>
      </w:r>
      <w:r>
        <w:t xml:space="preserve">; </w:t>
      </w:r>
      <w:r>
        <w:rPr>
          <w:b/>
        </w:rPr>
        <w:t>exportación a Excel</w:t>
      </w:r>
      <w:r>
        <w:t xml:space="preserve"> de los totales del dashboard.</w:t>
      </w:r>
    </w:p>
    <w:p>
      <w:pPr>
        <w:pStyle w:val="ListBullet"/>
      </w:pPr>
      <w:r>
        <w:rPr>
          <w:b/>
        </w:rPr>
        <w:t>Reporte de convenios</w:t>
      </w:r>
      <w:r>
        <w:t xml:space="preserve"> (</w:t>
      </w:r>
      <w:r>
        <w:rPr>
          <w:rFonts w:ascii="Consolas" w:hAnsi="Consolas"/>
          <w:sz w:val="18"/>
          <w:shd w:val="clear" w:fill="EEF2FF"/>
        </w:rPr>
        <w:t>reporte_convenios</w:t>
      </w:r>
      <w:r>
        <w:t>) con exportación a Excel.</w:t>
      </w:r>
    </w:p>
    <w:p>
      <w:pPr>
        <w:spacing w:after="0"/>
      </w:pPr>
    </w:p>
    <w:p>
      <w:pPr>
        <w:pStyle w:val="Heading1"/>
      </w:pPr>
      <w:r>
        <w:rPr>
          <w:color w:val="1A6B3C"/>
        </w:rPr>
        <w:t>11. Comandos de gestión (CLI)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fill="1F2937"/>
          </w:tcPr>
          <w:p>
            <w:r/>
            <w:r>
              <w:rPr>
                <w:b/>
                <w:color w:val="FFFFFF"/>
                <w:sz w:val="18"/>
              </w:rPr>
              <w:t>Comando</w:t>
            </w:r>
          </w:p>
        </w:tc>
        <w:tc>
          <w:tcPr>
            <w:tcW w:type="dxa" w:w="4819"/>
            <w:shd w:val="clear" w:fill="1F2937"/>
          </w:tcPr>
          <w:p>
            <w:r/>
            <w:r>
              <w:rPr>
                <w:b/>
                <w:color w:val="FFFFFF"/>
                <w:sz w:val="18"/>
              </w:rPr>
              <w:t>Propósito</w:t>
            </w:r>
          </w:p>
        </w:tc>
      </w:tr>
      <w:tr>
        <w:tc>
          <w:tcPr>
            <w:tcW w:type="dxa" w:w="4819"/>
          </w:tcPr>
          <w:p>
            <w:r/>
            <w:r>
              <w:rPr>
                <w:sz w:val="18"/>
              </w:rPr>
              <w:t>crear_usuarios_prueba</w:t>
            </w:r>
          </w:p>
        </w:tc>
        <w:tc>
          <w:tcPr>
            <w:tcW w:type="dxa" w:w="4819"/>
          </w:tcPr>
          <w:p>
            <w:r/>
            <w:r>
              <w:rPr>
                <w:sz w:val="18"/>
              </w:rPr>
              <w:t>Crear usuarios de prueba (1 superadmin, 4 admins, 15 asesores)</w:t>
            </w:r>
          </w:p>
        </w:tc>
      </w:tr>
      <w:tr>
        <w:tc>
          <w:tcPr>
            <w:tcW w:type="dxa" w:w="4819"/>
          </w:tcPr>
          <w:p>
            <w:r/>
            <w:r>
              <w:rPr>
                <w:sz w:val="18"/>
              </w:rPr>
              <w:t>seed_datos</w:t>
            </w:r>
            <w:r>
              <w:rPr>
                <w:sz w:val="18"/>
              </w:rPr>
              <w:t xml:space="preserve"> / </w:t>
            </w:r>
            <w:r>
              <w:rPr>
                <w:sz w:val="18"/>
              </w:rPr>
              <w:t>seed_clientes_prueba</w:t>
            </w:r>
          </w:p>
        </w:tc>
        <w:tc>
          <w:tcPr>
            <w:tcW w:type="dxa" w:w="4819"/>
          </w:tcPr>
          <w:p>
            <w:r/>
            <w:r>
              <w:rPr>
                <w:sz w:val="18"/>
              </w:rPr>
              <w:t>Sembrar casos demo (10 escenarios laborales / clientes completos con cálculos)</w:t>
            </w:r>
          </w:p>
        </w:tc>
      </w:tr>
      <w:tr>
        <w:tc>
          <w:tcPr>
            <w:tcW w:type="dxa" w:w="4819"/>
          </w:tcPr>
          <w:p>
            <w:r/>
            <w:r>
              <w:rPr>
                <w:sz w:val="18"/>
              </w:rPr>
              <w:t>enviar_recordatorios</w:t>
            </w:r>
          </w:p>
        </w:tc>
        <w:tc>
          <w:tcPr>
            <w:tcW w:type="dxa" w:w="4819"/>
          </w:tcPr>
          <w:p>
            <w:r/>
            <w:r>
              <w:rPr>
                <w:sz w:val="18"/>
              </w:rPr>
              <w:t>Enviar recordatorios de próximas acciones/audiencias (</w:t>
            </w:r>
            <w:r>
              <w:rPr>
                <w:sz w:val="18"/>
              </w:rPr>
              <w:t>--days</w:t>
            </w:r>
            <w:r>
              <w:rPr>
                <w:sz w:val="18"/>
              </w:rPr>
              <w:t xml:space="preserve">, </w:t>
            </w:r>
            <w:r>
              <w:rPr>
                <w:sz w:val="18"/>
              </w:rPr>
              <w:t>--dry-run</w:t>
            </w:r>
            <w:r>
              <w:rPr>
                <w:sz w:val="18"/>
              </w:rPr>
              <w:t>)</w:t>
            </w:r>
          </w:p>
        </w:tc>
      </w:tr>
      <w:tr>
        <w:tc>
          <w:tcPr>
            <w:tcW w:type="dxa" w:w="4819"/>
          </w:tcPr>
          <w:p>
            <w:r/>
            <w:r>
              <w:rPr>
                <w:sz w:val="18"/>
              </w:rPr>
              <w:t>enviar_solicitud_conciliacion</w:t>
            </w:r>
          </w:p>
        </w:tc>
        <w:tc>
          <w:tcPr>
            <w:tcW w:type="dxa" w:w="4819"/>
          </w:tcPr>
          <w:p>
            <w:r/>
            <w:r>
              <w:rPr>
                <w:sz w:val="18"/>
              </w:rPr>
              <w:t>Enviar solicitudes de conciliación al portal de BC desde CLI (</w:t>
            </w:r>
            <w:r>
              <w:rPr>
                <w:sz w:val="18"/>
              </w:rPr>
              <w:t>--headless</w:t>
            </w:r>
            <w:r>
              <w:rPr>
                <w:sz w:val="18"/>
              </w:rPr>
              <w:t>)</w:t>
            </w:r>
          </w:p>
        </w:tc>
      </w:tr>
      <w:tr>
        <w:tc>
          <w:tcPr>
            <w:tcW w:type="dxa" w:w="4819"/>
          </w:tcPr>
          <w:p>
            <w:r/>
            <w:r>
              <w:rPr>
                <w:sz w:val="18"/>
              </w:rPr>
              <w:t>enviar_whatsapp_automatico</w:t>
            </w:r>
          </w:p>
        </w:tc>
        <w:tc>
          <w:tcPr>
            <w:tcW w:type="dxa" w:w="4819"/>
          </w:tcPr>
          <w:p>
            <w:r/>
            <w:r>
              <w:rPr>
                <w:sz w:val="18"/>
              </w:rPr>
              <w:t>Vaciar mensajes automáticos de WhatsApp pendientes (</w:t>
            </w:r>
            <w:r>
              <w:rPr>
                <w:sz w:val="18"/>
              </w:rPr>
              <w:t>--dry-run</w:t>
            </w:r>
            <w:r>
              <w:rPr>
                <w:sz w:val="18"/>
              </w:rPr>
              <w:t xml:space="preserve">, </w:t>
            </w:r>
            <w:r>
              <w:rPr>
                <w:sz w:val="18"/>
              </w:rPr>
              <w:t>--send-twilio</w:t>
            </w:r>
            <w:r>
              <w:rPr>
                <w:sz w:val="18"/>
              </w:rPr>
              <w:t>)</w:t>
            </w:r>
          </w:p>
        </w:tc>
      </w:tr>
      <w:tr>
        <w:tc>
          <w:tcPr>
            <w:tcW w:type="dxa" w:w="4819"/>
          </w:tcPr>
          <w:p>
            <w:r/>
            <w:r>
              <w:rPr>
                <w:sz w:val="18"/>
              </w:rPr>
              <w:t>importar_clt</w:t>
            </w:r>
          </w:p>
        </w:tc>
        <w:tc>
          <w:tcPr>
            <w:tcW w:type="dxa" w:w="4819"/>
          </w:tcPr>
          <w:p>
            <w:r/>
            <w:r>
              <w:rPr>
                <w:sz w:val="18"/>
              </w:rPr>
              <w:t>Importar citas de CLT.xlsx como expedientes con audiencias</w:t>
            </w:r>
          </w:p>
        </w:tc>
      </w:tr>
      <w:tr>
        <w:tc>
          <w:tcPr>
            <w:tcW w:type="dxa" w:w="4819"/>
          </w:tcPr>
          <w:p>
            <w:r/>
            <w:r>
              <w:rPr>
                <w:sz w:val="18"/>
              </w:rPr>
              <w:t>importar_empresas</w:t>
            </w:r>
          </w:p>
        </w:tc>
        <w:tc>
          <w:tcPr>
            <w:tcW w:type="dxa" w:w="4819"/>
          </w:tcPr>
          <w:p>
            <w:r/>
            <w:r>
              <w:rPr>
                <w:sz w:val="18"/>
              </w:rPr>
              <w:t>Importar el catálogo de empresas y domicilios (idempotente)</w:t>
            </w:r>
          </w:p>
        </w:tc>
      </w:tr>
      <w:tr>
        <w:tc>
          <w:tcPr>
            <w:tcW w:type="dxa" w:w="4819"/>
          </w:tcPr>
          <w:p>
            <w:r/>
            <w:r>
              <w:rPr>
                <w:sz w:val="18"/>
              </w:rPr>
              <w:t>importar_machotes</w:t>
            </w:r>
          </w:p>
        </w:tc>
        <w:tc>
          <w:tcPr>
            <w:tcW w:type="dxa" w:w="4819"/>
          </w:tcPr>
          <w:p>
            <w:r/>
            <w:r>
              <w:rPr>
                <w:sz w:val="18"/>
              </w:rPr>
              <w:t xml:space="preserve">Convertir plantillas </w:t>
            </w:r>
            <w:r>
              <w:rPr>
                <w:sz w:val="18"/>
              </w:rPr>
              <w:t>.docx</w:t>
            </w:r>
            <w:r>
              <w:rPr>
                <w:sz w:val="18"/>
              </w:rPr>
              <w:t xml:space="preserve"> en machotes (</w:t>
            </w:r>
            <w:r>
              <w:rPr>
                <w:sz w:val="18"/>
              </w:rPr>
              <w:t>--reload</w:t>
            </w:r>
            <w:r>
              <w:rPr>
                <w:sz w:val="18"/>
              </w:rPr>
              <w:t xml:space="preserve">, </w:t>
            </w:r>
            <w:r>
              <w:rPr>
                <w:sz w:val="18"/>
              </w:rPr>
              <w:t>--file</w:t>
            </w:r>
            <w:r>
              <w:rPr>
                <w:sz w:val="18"/>
              </w:rPr>
              <w:t>)</w:t>
            </w:r>
          </w:p>
        </w:tc>
      </w:tr>
      <w:tr>
        <w:tc>
          <w:tcPr>
            <w:tcW w:type="dxa" w:w="4819"/>
          </w:tcPr>
          <w:p>
            <w:r/>
            <w:r>
              <w:rPr>
                <w:sz w:val="18"/>
              </w:rPr>
              <w:t>migrate_sqlite_to_pg</w:t>
            </w:r>
          </w:p>
        </w:tc>
        <w:tc>
          <w:tcPr>
            <w:tcW w:type="dxa" w:w="4819"/>
          </w:tcPr>
          <w:p>
            <w:r/>
            <w:r>
              <w:rPr>
                <w:sz w:val="18"/>
              </w:rPr>
              <w:t>Migración única de datos de SQLite a PostgreSQL</w:t>
            </w:r>
          </w:p>
        </w:tc>
      </w:tr>
    </w:tbl>
    <w:p>
      <w:pPr>
        <w:spacing w:after="0"/>
      </w:pPr>
    </w:p>
    <w:p>
      <w:pPr>
        <w:spacing w:after="0"/>
      </w:pPr>
    </w:p>
    <w:p>
      <w:pPr>
        <w:pStyle w:val="Heading1"/>
      </w:pPr>
      <w:r>
        <w:rPr>
          <w:color w:val="1A6B3C"/>
        </w:rPr>
        <w:t>12. Resumen de integraciones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fill="1F2937"/>
          </w:tcPr>
          <w:p>
            <w:r/>
            <w:r>
              <w:rPr>
                <w:b/>
                <w:color w:val="FFFFFF"/>
                <w:sz w:val="18"/>
              </w:rPr>
              <w:t>Servicio</w:t>
            </w:r>
          </w:p>
        </w:tc>
        <w:tc>
          <w:tcPr>
            <w:tcW w:type="dxa" w:w="3213"/>
            <w:shd w:val="clear" w:fill="1F2937"/>
          </w:tcPr>
          <w:p>
            <w:r/>
            <w:r>
              <w:rPr>
                <w:b/>
                <w:color w:val="FFFFFF"/>
                <w:sz w:val="18"/>
              </w:rPr>
              <w:t>Uso</w:t>
            </w:r>
          </w:p>
        </w:tc>
        <w:tc>
          <w:tcPr>
            <w:tcW w:type="dxa" w:w="3213"/>
            <w:shd w:val="clear" w:fill="1F2937"/>
          </w:tcPr>
          <w:p>
            <w:r/>
            <w:r>
              <w:rPr>
                <w:b/>
                <w:color w:val="FFFFFF"/>
                <w:sz w:val="18"/>
              </w:rPr>
              <w:t>Configuración</w:t>
            </w:r>
          </w:p>
        </w:tc>
      </w:tr>
      <w:tr>
        <w:tc>
          <w:tcPr>
            <w:tcW w:type="dxa" w:w="3213"/>
          </w:tcPr>
          <w:p>
            <w:r/>
            <w:r>
              <w:rPr>
                <w:b/>
                <w:sz w:val="18"/>
              </w:rPr>
              <w:t>Selenium</w:t>
            </w:r>
          </w:p>
        </w:tc>
        <w:tc>
          <w:tcPr>
            <w:tcW w:type="dxa" w:w="3213"/>
          </w:tcPr>
          <w:p>
            <w:r/>
            <w:r>
              <w:rPr>
                <w:sz w:val="18"/>
              </w:rPr>
              <w:t>Automatización del portal (headless/debug)</w:t>
            </w:r>
          </w:p>
        </w:tc>
        <w:tc>
          <w:tcPr>
            <w:tcW w:type="dxa" w:w="3213"/>
          </w:tcPr>
          <w:p>
            <w:r/>
            <w:r>
              <w:rPr>
                <w:sz w:val="18"/>
              </w:rPr>
              <w:t>incluido</w:t>
            </w:r>
          </w:p>
        </w:tc>
      </w:tr>
      <w:tr>
        <w:tc>
          <w:tcPr>
            <w:tcW w:type="dxa" w:w="3213"/>
          </w:tcPr>
          <w:p>
            <w:r/>
            <w:r>
              <w:rPr>
                <w:b/>
                <w:sz w:val="18"/>
              </w:rPr>
              <w:t>Celery + Redis</w:t>
            </w:r>
          </w:p>
        </w:tc>
        <w:tc>
          <w:tcPr>
            <w:tcW w:type="dxa" w:w="3213"/>
          </w:tcPr>
          <w:p>
            <w:r/>
            <w:r>
              <w:rPr>
                <w:sz w:val="18"/>
              </w:rPr>
              <w:t>Tareas en segundo plano (automatización de conciliación); fallback con threads</w:t>
            </w:r>
          </w:p>
        </w:tc>
        <w:tc>
          <w:tcPr>
            <w:tcW w:type="dxa" w:w="3213"/>
          </w:tcPr>
          <w:p>
            <w:r/>
            <w:r>
              <w:rPr>
                <w:sz w:val="18"/>
              </w:rPr>
              <w:t>REDIS_URL</w:t>
            </w:r>
          </w:p>
        </w:tc>
      </w:tr>
      <w:tr>
        <w:tc>
          <w:tcPr>
            <w:tcW w:type="dxa" w:w="3213"/>
          </w:tcPr>
          <w:p>
            <w:r/>
            <w:r>
              <w:rPr>
                <w:b/>
                <w:sz w:val="18"/>
              </w:rPr>
              <w:t>Twilio</w:t>
            </w:r>
          </w:p>
        </w:tc>
        <w:tc>
          <w:tcPr>
            <w:tcW w:type="dxa" w:w="3213"/>
          </w:tcPr>
          <w:p>
            <w:r/>
            <w:r>
              <w:rPr>
                <w:sz w:val="18"/>
              </w:rPr>
              <w:t>Envío por API de WhatsApp (opcional)</w:t>
            </w:r>
          </w:p>
        </w:tc>
        <w:tc>
          <w:tcPr>
            <w:tcW w:type="dxa" w:w="3213"/>
          </w:tcPr>
          <w:p>
            <w:r/>
            <w:r>
              <w:rPr>
                <w:sz w:val="18"/>
              </w:rPr>
              <w:t xml:space="preserve">variables de entorno </w:t>
            </w:r>
            <w:r>
              <w:rPr>
                <w:sz w:val="18"/>
              </w:rPr>
              <w:t>TWILIO_*</w:t>
            </w:r>
          </w:p>
        </w:tc>
      </w:tr>
      <w:tr>
        <w:tc>
          <w:tcPr>
            <w:tcW w:type="dxa" w:w="3213"/>
          </w:tcPr>
          <w:p>
            <w:r/>
            <w:r>
              <w:rPr>
                <w:b/>
                <w:sz w:val="18"/>
              </w:rPr>
              <w:t>SMTP</w:t>
            </w:r>
          </w:p>
        </w:tc>
        <w:tc>
          <w:tcPr>
            <w:tcW w:type="dxa" w:w="3213"/>
          </w:tcPr>
          <w:p>
            <w:r/>
            <w:r>
              <w:rPr>
                <w:sz w:val="18"/>
              </w:rPr>
              <w:t>Correos de restablecimiento de contraseña (backend de consola en desarrollo)</w:t>
            </w:r>
          </w:p>
        </w:tc>
        <w:tc>
          <w:tcPr>
            <w:tcW w:type="dxa" w:w="3213"/>
          </w:tcPr>
          <w:p>
            <w:r/>
            <w:r>
              <w:rPr>
                <w:sz w:val="18"/>
              </w:rPr>
              <w:t xml:space="preserve">variables de entorno </w:t>
            </w:r>
            <w:r>
              <w:rPr>
                <w:sz w:val="18"/>
              </w:rPr>
              <w:t>EMAIL_*</w:t>
            </w:r>
          </w:p>
        </w:tc>
      </w:tr>
      <w:tr>
        <w:tc>
          <w:tcPr>
            <w:tcW w:type="dxa" w:w="3213"/>
          </w:tcPr>
          <w:p>
            <w:r/>
            <w:r>
              <w:rPr>
                <w:b/>
                <w:sz w:val="18"/>
              </w:rPr>
              <w:t>WeasyPrint</w:t>
            </w:r>
          </w:p>
        </w:tc>
        <w:tc>
          <w:tcPr>
            <w:tcW w:type="dxa" w:w="3213"/>
          </w:tcPr>
          <w:p>
            <w:r/>
            <w:r>
              <w:rPr>
                <w:sz w:val="18"/>
              </w:rPr>
              <w:t>Generación de PDFs (expediente, documentos)</w:t>
            </w:r>
          </w:p>
        </w:tc>
        <w:tc>
          <w:tcPr>
            <w:tcW w:type="dxa" w:w="3213"/>
          </w:tcPr>
          <w:p>
            <w:r/>
            <w:r>
              <w:rPr>
                <w:sz w:val="18"/>
              </w:rPr>
              <w:t>incluido</w:t>
            </w:r>
          </w:p>
        </w:tc>
      </w:tr>
      <w:tr>
        <w:tc>
          <w:tcPr>
            <w:tcW w:type="dxa" w:w="3213"/>
          </w:tcPr>
          <w:p>
            <w:r/>
            <w:r>
              <w:rPr>
                <w:b/>
                <w:sz w:val="18"/>
              </w:rPr>
              <w:t>python-docx</w:t>
            </w:r>
          </w:p>
        </w:tc>
        <w:tc>
          <w:tcPr>
            <w:tcW w:type="dxa" w:w="3213"/>
          </w:tcPr>
          <w:p>
            <w:r/>
            <w:r>
              <w:rPr>
                <w:sz w:val="18"/>
              </w:rPr>
              <w:t>Generación de demandas en Word (.docx)</w:t>
            </w:r>
          </w:p>
        </w:tc>
        <w:tc>
          <w:tcPr>
            <w:tcW w:type="dxa" w:w="3213"/>
          </w:tcPr>
          <w:p>
            <w:r/>
            <w:r>
              <w:rPr>
                <w:sz w:val="18"/>
              </w:rPr>
              <w:t>incluido</w:t>
            </w:r>
          </w:p>
        </w:tc>
      </w:tr>
      <w:tr>
        <w:tc>
          <w:tcPr>
            <w:tcW w:type="dxa" w:w="3213"/>
          </w:tcPr>
          <w:p>
            <w:r/>
            <w:r>
              <w:rPr>
                <w:b/>
                <w:sz w:val="18"/>
              </w:rPr>
              <w:t>PyMuPDF (fitz)</w:t>
            </w:r>
          </w:p>
        </w:tc>
        <w:tc>
          <w:tcPr>
            <w:tcW w:type="dxa" w:w="3213"/>
          </w:tcPr>
          <w:p>
            <w:r/>
            <w:r>
              <w:rPr>
                <w:sz w:val="18"/>
              </w:rPr>
              <w:t>Extracción de texto de los PDFs de acuse</w:t>
            </w:r>
          </w:p>
        </w:tc>
        <w:tc>
          <w:tcPr>
            <w:tcW w:type="dxa" w:w="3213"/>
          </w:tcPr>
          <w:p>
            <w:r/>
            <w:r>
              <w:rPr>
                <w:sz w:val="18"/>
              </w:rPr>
              <w:t>incluido</w:t>
            </w:r>
          </w:p>
        </w:tc>
      </w:tr>
      <w:tr>
        <w:tc>
          <w:tcPr>
            <w:tcW w:type="dxa" w:w="3213"/>
          </w:tcPr>
          <w:p>
            <w:r/>
            <w:r>
              <w:rPr>
                <w:b/>
                <w:sz w:val="18"/>
              </w:rPr>
              <w:t>openpyxl</w:t>
            </w:r>
          </w:p>
        </w:tc>
        <w:tc>
          <w:tcPr>
            <w:tcW w:type="dxa" w:w="3213"/>
          </w:tcPr>
          <w:p>
            <w:r/>
            <w:r>
              <w:rPr>
                <w:sz w:val="18"/>
              </w:rPr>
              <w:t>Importaciones (CLT, empresas) y exportaciones a Excel</w:t>
            </w:r>
          </w:p>
        </w:tc>
        <w:tc>
          <w:tcPr>
            <w:tcW w:type="dxa" w:w="3213"/>
          </w:tcPr>
          <w:p>
            <w:r/>
            <w:r>
              <w:rPr>
                <w:sz w:val="18"/>
              </w:rPr>
              <w:t>incluido</w:t>
            </w:r>
          </w:p>
        </w:tc>
      </w:tr>
      <w:tr>
        <w:tc>
          <w:tcPr>
            <w:tcW w:type="dxa" w:w="3213"/>
          </w:tcPr>
          <w:p>
            <w:r/>
            <w:r>
              <w:rPr>
                <w:b/>
                <w:sz w:val="18"/>
              </w:rPr>
              <w:t>API de la extensión de Chrome</w:t>
            </w:r>
          </w:p>
        </w:tc>
        <w:tc>
          <w:tcPr>
            <w:tcW w:type="dxa" w:w="3213"/>
          </w:tcPr>
          <w:p>
            <w:r/>
            <w:r>
              <w:rPr>
                <w:sz w:val="18"/>
              </w:rPr>
              <w:t>Endpoints REST autenticados con token para la extensión</w:t>
            </w:r>
          </w:p>
        </w:tc>
        <w:tc>
          <w:tcPr>
            <w:tcW w:type="dxa" w:w="3213"/>
          </w:tcPr>
          <w:p>
            <w:r/>
            <w:r>
              <w:rPr>
                <w:sz w:val="18"/>
              </w:rPr>
              <w:t>api_token</w:t>
            </w:r>
            <w:r>
              <w:rPr>
                <w:sz w:val="18"/>
              </w:rPr>
              <w:t xml:space="preserve"> personal</w:t>
            </w:r>
          </w:p>
        </w:tc>
      </w:tr>
      <w:tr>
        <w:tc>
          <w:tcPr>
            <w:tcW w:type="dxa" w:w="3213"/>
          </w:tcPr>
          <w:p>
            <w:r/>
            <w:r>
              <w:rPr>
                <w:b/>
                <w:sz w:val="18"/>
              </w:rPr>
              <w:t>Railway</w:t>
            </w:r>
          </w:p>
        </w:tc>
        <w:tc>
          <w:tcPr>
            <w:tcW w:type="dxa" w:w="3213"/>
          </w:tcPr>
          <w:p>
            <w:r/>
            <w:r>
              <w:rPr>
                <w:sz w:val="18"/>
              </w:rPr>
              <w:t>Despliegue; detecta automáticamente dominio, PostgreSQL y Redis</w:t>
            </w:r>
          </w:p>
        </w:tc>
        <w:tc>
          <w:tcPr>
            <w:tcW w:type="dxa" w:w="3213"/>
          </w:tcPr>
          <w:p>
            <w:r/>
            <w:r>
              <w:rPr>
                <w:sz w:val="18"/>
              </w:rPr>
              <w:t>variables de entorno</w:t>
            </w:r>
          </w:p>
        </w:tc>
      </w:tr>
    </w:tbl>
    <w:p>
      <w:pPr>
        <w:spacing w:after="0"/>
      </w:pPr>
    </w:p>
    <w:p>
      <w:pPr>
        <w:spacing w:after="0"/>
      </w:pPr>
    </w:p>
    <w:p>
      <w:pPr>
        <w:pStyle w:val="Heading1"/>
      </w:pPr>
      <w:r>
        <w:rPr>
          <w:color w:val="1A6B3C"/>
        </w:rPr>
        <w:t>13. Arquitectura y notas técnicas</w:t>
      </w:r>
    </w:p>
    <w:p>
      <w:pPr>
        <w:pStyle w:val="ListBullet"/>
      </w:pPr>
      <w:r>
        <w:rPr>
          <w:b/>
        </w:rPr>
        <w:t>Backend:</w:t>
      </w:r>
      <w:r>
        <w:t xml:space="preserve"> Django 5.x, locale </w:t>
      </w:r>
      <w:r>
        <w:rPr>
          <w:rFonts w:ascii="Consolas" w:hAnsi="Consolas"/>
          <w:sz w:val="18"/>
          <w:shd w:val="clear" w:fill="EEF2FF"/>
        </w:rPr>
        <w:t>es-mx</w:t>
      </w:r>
      <w:r>
        <w:t xml:space="preserve">, zona horaria </w:t>
      </w:r>
      <w:r>
        <w:rPr>
          <w:rFonts w:ascii="Consolas" w:hAnsi="Consolas"/>
          <w:sz w:val="18"/>
          <w:shd w:val="clear" w:fill="EEF2FF"/>
        </w:rPr>
        <w:t>America/Mexico_City</w:t>
      </w:r>
      <w:r>
        <w:t>.</w:t>
      </w:r>
    </w:p>
    <w:p>
      <w:pPr>
        <w:pStyle w:val="ListBullet"/>
      </w:pPr>
      <w:r>
        <w:rPr>
          <w:b/>
        </w:rPr>
        <w:t>Base de datos:</w:t>
      </w:r>
      <w:r>
        <w:t xml:space="preserve"> SQLite (desarrollo) / PostgreSQL (producción) vía </w:t>
      </w:r>
      <w:r>
        <w:rPr>
          <w:rFonts w:ascii="Consolas" w:hAnsi="Consolas"/>
          <w:sz w:val="18"/>
          <w:shd w:val="clear" w:fill="EEF2FF"/>
        </w:rPr>
        <w:t>DATABASE_URL</w:t>
      </w:r>
      <w:r>
        <w:t>; detección automática del entorno de Railway (</w:t>
      </w:r>
      <w:r>
        <w:rPr>
          <w:rFonts w:ascii="Consolas" w:hAnsi="Consolas"/>
          <w:sz w:val="18"/>
          <w:shd w:val="clear" w:fill="EEF2FF"/>
        </w:rPr>
        <w:t>PGHOST</w:t>
      </w:r>
      <w:r>
        <w:t>…).</w:t>
      </w:r>
    </w:p>
    <w:p>
      <w:pPr>
        <w:pStyle w:val="ListBullet"/>
      </w:pPr>
      <w:r>
        <w:rPr>
          <w:b/>
        </w:rPr>
        <w:t>Frontend:</w:t>
      </w:r>
      <w:r>
        <w:t xml:space="preserve"> Tailwind CSS (CDN) + </w:t>
      </w:r>
      <w:r>
        <w:rPr>
          <w:b/>
        </w:rPr>
        <w:t>HTMX</w:t>
      </w:r>
      <w:r>
        <w:t xml:space="preserve"> para interacciones dinámicas (sin framework JS pesado); diseño responsive.</w:t>
      </w:r>
    </w:p>
    <w:p>
      <w:pPr>
        <w:pStyle w:val="ListBullet"/>
      </w:pPr>
      <w:r>
        <w:rPr>
          <w:b/>
        </w:rPr>
        <w:t>Archivos estáticos:</w:t>
      </w:r>
      <w:r>
        <w:t xml:space="preserve"> Whitenoise (</w:t>
      </w:r>
      <w:r>
        <w:rPr>
          <w:rFonts w:ascii="Consolas" w:hAnsi="Consolas"/>
          <w:sz w:val="18"/>
          <w:shd w:val="clear" w:fill="EEF2FF"/>
        </w:rPr>
        <w:t>CompressedManifestStaticFilesStorage</w:t>
      </w:r>
      <w:r>
        <w:t>) para servir en producción sin Nginx.</w:t>
      </w:r>
    </w:p>
    <w:p>
      <w:pPr>
        <w:pStyle w:val="ListBullet"/>
      </w:pPr>
      <w:r>
        <w:rPr>
          <w:b/>
        </w:rPr>
        <w:t>Trabajo en segundo plano:</w:t>
      </w:r>
      <w:r>
        <w:t xml:space="preserve"> Celery cuando hay Redis, </w:t>
      </w:r>
      <w:r>
        <w:rPr>
          <w:b/>
        </w:rPr>
        <w:t>fallback con threads</w:t>
      </w:r>
      <w:r>
        <w:t xml:space="preserve"> en caso contrario (degradación elegante para desarrollo local).</w:t>
      </w:r>
    </w:p>
    <w:p>
      <w:pPr>
        <w:pStyle w:val="ListBullet"/>
      </w:pPr>
      <w:r>
        <w:rPr>
          <w:b/>
        </w:rPr>
        <w:t>Auditabilidad:</w:t>
      </w:r>
      <w:r>
        <w:t xml:space="preserve"> cada entidad clave (pagos, gastos, nómina, caja, préstamos, distribuciones, comisiones) registra </w:t>
      </w:r>
      <w:r>
        <w:rPr>
          <w:rFonts w:ascii="Consolas" w:hAnsi="Consolas"/>
          <w:sz w:val="18"/>
          <w:shd w:val="clear" w:fill="EEF2FF"/>
        </w:rPr>
        <w:t>registrado_por</w:t>
      </w:r>
      <w:r>
        <w:t>/</w:t>
      </w:r>
      <w:r>
        <w:rPr>
          <w:rFonts w:ascii="Consolas" w:hAnsi="Consolas"/>
          <w:sz w:val="18"/>
          <w:shd w:val="clear" w:fill="EEF2FF"/>
        </w:rPr>
        <w:t>creado_por</w:t>
      </w:r>
      <w:r>
        <w:t>.</w:t>
      </w:r>
    </w:p>
    <w:p>
      <w:pPr>
        <w:pStyle w:val="ListBullet"/>
      </w:pPr>
      <w:r>
        <w:rPr>
          <w:b/>
        </w:rPr>
        <w:t>Despliegue:</w:t>
      </w:r>
      <w:r>
        <w:t xml:space="preserve"> Dockerfile, configuración de Railway, entrypoint (levanta el worker de Celery automáticamente cuando existe Redis), receta de Nginx + Gunicorn para VPS (droplet) y guía de despliegue para clientes.</w:t>
      </w:r>
    </w:p>
    <w:p>
      <w:pPr>
        <w:spacing w:after="0"/>
      </w:pPr>
    </w:p>
    <w:p>
      <w:pPr>
        <w:pStyle w:val="Heading1"/>
      </w:pPr>
      <w:r>
        <w:rPr>
          <w:color w:val="1A6B3C"/>
        </w:rPr>
        <w:t>14. Pruebas</w:t>
      </w:r>
    </w:p>
    <w:p>
      <w:r>
        <w:t xml:space="preserve">La suite incluye </w:t>
      </w:r>
      <w:r>
        <w:rPr>
          <w:b/>
        </w:rPr>
        <w:t>48 pruebas</w:t>
      </w:r>
      <w:r>
        <w:t xml:space="preserve"> (expedientes, finanzas, automatización) que cubren la validación de transiciones de estado, los cálculos financieros y el script de verificación </w:t>
      </w:r>
      <w:r>
        <w:rPr>
          <w:rFonts w:ascii="Consolas" w:hAnsi="Consolas"/>
          <w:sz w:val="18"/>
          <w:shd w:val="clear" w:fill="EEF2FF"/>
        </w:rPr>
        <w:t>verify_demandas_calculos.py</w:t>
      </w:r>
      <w:r>
        <w:t xml:space="preserve"> (usado por CI). Ejecución:</w:t>
      </w:r>
    </w:p>
    <w:p>
      <w:pPr>
        <w:spacing w:before="80" w:after="80"/>
        <w:shd w:val="clear" w:fill="F3F4F6"/>
      </w:pPr>
      <w:r>
        <w:rPr>
          <w:rFonts w:ascii="Consolas" w:hAnsi="Consolas"/>
          <w:sz w:val="17"/>
        </w:rPr>
        <w:t>uv run python manage.py test</w:t>
      </w:r>
    </w:p>
    <w:p>
      <w:pPr>
        <w:spacing w:after="0"/>
      </w:pPr>
    </w:p>
    <w:p>
      <w:pPr>
        <w:pStyle w:val="Heading1"/>
      </w:pPr>
      <w:r>
        <w:rPr>
          <w:color w:val="1A6B3C"/>
        </w:rPr>
        <w:t>15. Inicio rápido (desarrollo)</w:t>
      </w:r>
    </w:p>
    <w:p>
      <w:pPr>
        <w:spacing w:before="80" w:after="80"/>
        <w:shd w:val="clear" w:fill="F3F4F6"/>
      </w:pPr>
      <w:r>
        <w:rPr>
          <w:rFonts w:ascii="Consolas" w:hAnsi="Consolas"/>
          <w:sz w:val="17"/>
        </w:rPr>
        <w:t>uv sync                          # instalar dependencias</w:t>
        <w:br/>
      </w:r>
      <w:r>
        <w:rPr>
          <w:rFonts w:ascii="Consolas" w:hAnsi="Consolas"/>
          <w:sz w:val="17"/>
        </w:rPr>
        <w:t>uv run python manage.py migrate  # migraciones de BD</w:t>
        <w:br/>
      </w:r>
      <w:r>
        <w:rPr>
          <w:rFonts w:ascii="Consolas" w:hAnsi="Consolas"/>
          <w:sz w:val="17"/>
        </w:rPr>
        <w:t>uv run python manage.py crear_usuarios_prueba</w:t>
        <w:br/>
      </w:r>
      <w:r>
        <w:rPr>
          <w:rFonts w:ascii="Consolas" w:hAnsi="Consolas"/>
          <w:sz w:val="17"/>
        </w:rPr>
        <w:t>uv run python manage.py runserver</w:t>
      </w:r>
    </w:p>
    <w:p>
      <w:r>
        <w:t xml:space="preserve">Accesos de prueba: </w:t>
      </w:r>
      <w:r>
        <w:rPr>
          <w:rFonts w:ascii="Consolas" w:hAnsi="Consolas"/>
          <w:sz w:val="18"/>
          <w:shd w:val="clear" w:fill="EEF2FF"/>
        </w:rPr>
        <w:t>superadmin/Admin123!</w:t>
      </w:r>
      <w:r>
        <w:t xml:space="preserve"> · </w:t>
      </w:r>
      <w:r>
        <w:rPr>
          <w:rFonts w:ascii="Consolas" w:hAnsi="Consolas"/>
          <w:sz w:val="18"/>
          <w:shd w:val="clear" w:fill="EEF2FF"/>
        </w:rPr>
        <w:t>admin1/Admin1!</w:t>
      </w:r>
      <w:r>
        <w:t xml:space="preserve"> · </w:t>
      </w:r>
      <w:r>
        <w:rPr>
          <w:rFonts w:ascii="Consolas" w:hAnsi="Consolas"/>
          <w:sz w:val="18"/>
          <w:shd w:val="clear" w:fill="EEF2FF"/>
        </w:rPr>
        <w:t>asesor1/Asesor1!</w:t>
      </w:r>
    </w:p>
    <w:sectPr w:rsidR="00FC693F" w:rsidRPr="0006063C" w:rsidSect="00034616">
      <w:footerReference w:type="default" r:id="rId9"/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B7280"/>
        <w:sz w:val="16"/>
      </w:rPr>
      <w:t xml:space="preserve">Conciliacion Laboral Tijuana · Documentacion Funcional del Sistema  ·  Pagina </w:t>
    </w:r>
    <w:r>
      <w:rPr>
        <w:color w:val="6B7280"/>
        <w:sz w:val="16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