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9B554" w14:textId="7EA2BD42" w:rsidR="00EA4537" w:rsidRPr="00EA4537" w:rsidRDefault="00EA4537" w:rsidP="00EA4537">
      <w:pPr>
        <w:tabs>
          <w:tab w:val="left" w:pos="3300"/>
        </w:tabs>
        <w:rPr>
          <w:b/>
          <w:bCs/>
        </w:rPr>
      </w:pPr>
      <w:r>
        <w:t xml:space="preserve">                                                     </w:t>
      </w:r>
      <w:r w:rsidRPr="00EA4537">
        <w:rPr>
          <w:b/>
          <w:bCs/>
        </w:rPr>
        <w:t>Chapter 7 — Conclusion and Future Work</w:t>
      </w:r>
    </w:p>
    <w:p w14:paraId="147E25D2" w14:textId="77777777" w:rsidR="00EA4537" w:rsidRPr="00EA4537" w:rsidRDefault="00EA4537" w:rsidP="00EA4537">
      <w:pPr>
        <w:tabs>
          <w:tab w:val="left" w:pos="3300"/>
        </w:tabs>
        <w:rPr>
          <w:b/>
          <w:bCs/>
        </w:rPr>
      </w:pPr>
      <w:r w:rsidRPr="00EA4537">
        <w:rPr>
          <w:b/>
          <w:bCs/>
        </w:rPr>
        <w:t>7.1 Conclusion</w:t>
      </w:r>
    </w:p>
    <w:p w14:paraId="467D95A6" w14:textId="77777777" w:rsidR="00EA4537" w:rsidRPr="00EA4537" w:rsidRDefault="00EA4537" w:rsidP="006B7341">
      <w:pPr>
        <w:tabs>
          <w:tab w:val="left" w:pos="3300"/>
        </w:tabs>
        <w:jc w:val="both"/>
      </w:pPr>
      <w:r w:rsidRPr="00EA4537">
        <w:t>The primary objective of this research was to investigate whether reinforcement learning can successfully learn adaptive PID gain scheduling for vehicle control under unknown dynamics. More specifically, this thesis examined whether a reinforcement learning agent could adapt PID gains online in a simulated vehicle control task without prior knowledge of vehicle mass or friction characteristics, and whether such adaptation provides practical value compared with a conventional fixed PID controller.</w:t>
      </w:r>
    </w:p>
    <w:p w14:paraId="5AE2C929" w14:textId="77777777" w:rsidR="00EA4537" w:rsidRPr="00EA4537" w:rsidRDefault="00EA4537" w:rsidP="006B7341">
      <w:pPr>
        <w:tabs>
          <w:tab w:val="left" w:pos="3300"/>
        </w:tabs>
        <w:jc w:val="both"/>
      </w:pPr>
      <w:r w:rsidRPr="00EA4537">
        <w:t>The experimental results demonstrate that reinforcement learning can successfully learn adaptive PID gain scheduling under uncertain operating conditions. Both reinforcement learning controllers developed in this work — the context-aware Stage 5a agent and the blind Stage 5b agent — achieved complete task success across all evaluated scenarios. The controllers successfully operated across substantial variation in system dynamics, including multiple mass and friction configurations and out-of-distribution conditions beyond the original training range.</w:t>
      </w:r>
    </w:p>
    <w:p w14:paraId="494C0B27" w14:textId="77777777" w:rsidR="00EA4537" w:rsidRPr="00EA4537" w:rsidRDefault="00EA4537" w:rsidP="006B7341">
      <w:pPr>
        <w:tabs>
          <w:tab w:val="left" w:pos="3300"/>
        </w:tabs>
        <w:jc w:val="both"/>
      </w:pPr>
      <w:r w:rsidRPr="00EA4537">
        <w:t>These findings confirm the feasibility of using reinforcement learning as an online adaptive control mechanism for PID parameter scheduling.</w:t>
      </w:r>
    </w:p>
    <w:p w14:paraId="0554A82B" w14:textId="77777777" w:rsidR="00EA4537" w:rsidRPr="00EA4537" w:rsidRDefault="00EA4537" w:rsidP="006B7341">
      <w:pPr>
        <w:tabs>
          <w:tab w:val="left" w:pos="3300"/>
        </w:tabs>
        <w:jc w:val="both"/>
      </w:pPr>
      <w:r w:rsidRPr="00EA4537">
        <w:t>A key result of this study is the comparison between the context-aware and blind reinforcement learning controllers.</w:t>
      </w:r>
    </w:p>
    <w:p w14:paraId="1BC43AA9" w14:textId="77777777" w:rsidR="00EA4537" w:rsidRPr="00EA4537" w:rsidRDefault="00EA4537" w:rsidP="006B7341">
      <w:pPr>
        <w:tabs>
          <w:tab w:val="left" w:pos="3300"/>
        </w:tabs>
        <w:jc w:val="both"/>
      </w:pPr>
      <w:r w:rsidRPr="00EA4537">
        <w:t>The Stage 5a controller, which directly observes mass and friction information, consistently achieved faster settling performance than the Stage 5b controller, which must infer hidden dynamics from observation history alone. Across the evaluated static scenarios, the blind controller exhibited an average settling-time penalty of approximately 14–15% relative to the context-aware controller.</w:t>
      </w:r>
    </w:p>
    <w:p w14:paraId="520B3258" w14:textId="77777777" w:rsidR="00EA4537" w:rsidRPr="00EA4537" w:rsidRDefault="00EA4537" w:rsidP="006B7341">
      <w:pPr>
        <w:tabs>
          <w:tab w:val="left" w:pos="3300"/>
        </w:tabs>
        <w:jc w:val="both"/>
      </w:pPr>
      <w:r w:rsidRPr="00EA4537">
        <w:t>This finding demonstrates that explicit physics information improves adaptation efficiency.</w:t>
      </w:r>
    </w:p>
    <w:p w14:paraId="129748B7" w14:textId="77777777" w:rsidR="00EA4537" w:rsidRPr="00EA4537" w:rsidRDefault="00EA4537" w:rsidP="006B7341">
      <w:pPr>
        <w:tabs>
          <w:tab w:val="left" w:pos="3300"/>
        </w:tabs>
        <w:jc w:val="both"/>
      </w:pPr>
      <w:r w:rsidRPr="00EA4537">
        <w:t>However, the success of the blind controller is equally important. Despite lacking direct access to operating-condition information, the Stage 5b agent maintained 100% success across all evaluated conditions. This suggests that short-term temporal history, implemented through frame stacking, provides sufficient information for successful implicit dynamics inference.</w:t>
      </w:r>
    </w:p>
    <w:p w14:paraId="50CD59CA" w14:textId="77777777" w:rsidR="00EA4537" w:rsidRPr="00EA4537" w:rsidRDefault="00EA4537" w:rsidP="00986C8C">
      <w:pPr>
        <w:tabs>
          <w:tab w:val="left" w:pos="3300"/>
        </w:tabs>
      </w:pPr>
      <w:r w:rsidRPr="00EA4537">
        <w:t xml:space="preserve">From a practical perspective, this result may be the more significant contribution. Real systems frequently operate without direct access to hidden plant parameters such as effective mass or friction scale. The successful performance of the blind controller </w:t>
      </w:r>
      <w:r w:rsidRPr="00EA4537">
        <w:lastRenderedPageBreak/>
        <w:t>therefore suggests that adaptive reinforcement learning may remain viable even under realistic partial observability constraints.</w:t>
      </w:r>
    </w:p>
    <w:p w14:paraId="70FA74E5" w14:textId="77777777" w:rsidR="00EA4537" w:rsidRPr="00EA4537" w:rsidRDefault="00EA4537" w:rsidP="00986C8C">
      <w:pPr>
        <w:tabs>
          <w:tab w:val="left" w:pos="3300"/>
        </w:tabs>
      </w:pPr>
      <w:r w:rsidRPr="00EA4537">
        <w:t>Another important contribution of this thesis emerged during experimental analysis rather than during initial controller evaluation.</w:t>
      </w:r>
    </w:p>
    <w:p w14:paraId="53635F37" w14:textId="77777777" w:rsidR="00EA4537" w:rsidRPr="00EA4537" w:rsidRDefault="00EA4537" w:rsidP="00986C8C">
      <w:pPr>
        <w:tabs>
          <w:tab w:val="left" w:pos="3300"/>
        </w:tabs>
      </w:pPr>
      <w:r w:rsidRPr="00EA4537">
        <w:t>A detailed investigation identified an implicit environmental assumption embedded within the simulation design: the brake integral reset mechanism.</w:t>
      </w:r>
    </w:p>
    <w:p w14:paraId="26489BB8" w14:textId="77777777" w:rsidR="00EA4537" w:rsidRPr="00EA4537" w:rsidRDefault="00EA4537" w:rsidP="00986C8C">
      <w:pPr>
        <w:tabs>
          <w:tab w:val="left" w:pos="3300"/>
        </w:tabs>
      </w:pPr>
      <w:r w:rsidRPr="00EA4537">
        <w:t>This mechanism automatically clears accumulated integral state when the controller enters the braking region near the target. Although originally introduced as a practical anti-windup engineering safeguard, further analysis revealed that its presence fundamentally alters the comparative relationship between fixed PID control and reinforcement learning adaptation.</w:t>
      </w:r>
    </w:p>
    <w:p w14:paraId="4A8ABA69" w14:textId="77777777" w:rsidR="00EA4537" w:rsidRPr="00EA4537" w:rsidRDefault="00EA4537" w:rsidP="00986C8C">
      <w:pPr>
        <w:tabs>
          <w:tab w:val="left" w:pos="3300"/>
        </w:tabs>
      </w:pPr>
      <w:r w:rsidRPr="00EA4537">
        <w:t>Because the mechanism operates for all controllers, including the fixed PID baseline, it effectively removes one of the most challenging aspects of long-horizon PID regulation — integral windup management during braking.</w:t>
      </w:r>
    </w:p>
    <w:p w14:paraId="471E1C72" w14:textId="77777777" w:rsidR="00EA4537" w:rsidRPr="00EA4537" w:rsidRDefault="00EA4537" w:rsidP="00986C8C">
      <w:pPr>
        <w:tabs>
          <w:tab w:val="left" w:pos="3300"/>
        </w:tabs>
      </w:pPr>
      <w:r w:rsidRPr="00EA4537">
        <w:t>Additional validation experiments confirmed the importance of this effect. When the reset mechanism was disabled, the fixed PID baseline failed completely across all evaluated scenarios.</w:t>
      </w:r>
    </w:p>
    <w:p w14:paraId="69361422" w14:textId="77777777" w:rsidR="00EA4537" w:rsidRPr="00EA4537" w:rsidRDefault="00EA4537" w:rsidP="00986C8C">
      <w:pPr>
        <w:tabs>
          <w:tab w:val="left" w:pos="3300"/>
        </w:tabs>
      </w:pPr>
      <w:r w:rsidRPr="00EA4537">
        <w:t>This finding changes the interpretation of the original evaluation results. The apparent superiority of fixed PID settling performance observed in the primary experiments cannot be viewed as a pure comparison between adaptive and non-adaptive control methods. Instead, the comparison reflects interaction between controller design and an environment containing a hidden stabilisation aid.</w:t>
      </w:r>
    </w:p>
    <w:p w14:paraId="5AAF4A92" w14:textId="77777777" w:rsidR="00EA4537" w:rsidRPr="00EA4537" w:rsidRDefault="00EA4537" w:rsidP="00986C8C">
      <w:pPr>
        <w:tabs>
          <w:tab w:val="left" w:pos="3300"/>
        </w:tabs>
      </w:pPr>
      <w:r w:rsidRPr="00EA4537">
        <w:t>Identifying this confound constitutes one of the most important scientific outcomes of the study.</w:t>
      </w:r>
    </w:p>
    <w:p w14:paraId="11CCA44D" w14:textId="77777777" w:rsidR="00EA4537" w:rsidRPr="00EA4537" w:rsidRDefault="00EA4537" w:rsidP="00986C8C">
      <w:pPr>
        <w:tabs>
          <w:tab w:val="left" w:pos="3300"/>
        </w:tabs>
      </w:pPr>
      <w:r w:rsidRPr="00EA4537">
        <w:t>Beyond its immediate relevance to the investigated control problem, this finding carries broader methodological significance for adaptive control research and reinforcement learning benchmarking.</w:t>
      </w:r>
    </w:p>
    <w:p w14:paraId="72C7C89B" w14:textId="77777777" w:rsidR="00EA4537" w:rsidRPr="00EA4537" w:rsidRDefault="00EA4537" w:rsidP="00986C8C">
      <w:pPr>
        <w:tabs>
          <w:tab w:val="left" w:pos="3300"/>
        </w:tabs>
      </w:pPr>
      <w:r w:rsidRPr="00EA4537">
        <w:t>Simulation environments frequently contain implementation choices introduced for engineering convenience or numerical stability. However, such mechanisms can unintentionally favour certain controller classes and obscure the theoretical strengths or weaknesses of competing approaches.</w:t>
      </w:r>
    </w:p>
    <w:p w14:paraId="7567C9B5" w14:textId="77777777" w:rsidR="00EA4537" w:rsidRPr="00EA4537" w:rsidRDefault="00EA4537" w:rsidP="00986C8C">
      <w:pPr>
        <w:tabs>
          <w:tab w:val="left" w:pos="3300"/>
        </w:tabs>
      </w:pPr>
      <w:r w:rsidRPr="00EA4537">
        <w:t>This thesis therefore demonstrates that careful auditing of environmental assumptions and hidden stabilisation mechanisms is essential when evaluating adaptive control methods.</w:t>
      </w:r>
    </w:p>
    <w:p w14:paraId="29B21812" w14:textId="77777777" w:rsidR="00EA4537" w:rsidRPr="00EA4537" w:rsidRDefault="00EA4537" w:rsidP="00986C8C">
      <w:pPr>
        <w:tabs>
          <w:tab w:val="left" w:pos="3300"/>
        </w:tabs>
      </w:pPr>
      <w:r w:rsidRPr="00EA4537">
        <w:lastRenderedPageBreak/>
        <w:t>Overall, the findings of this work indicate that reinforcement learning is capable of learning adaptive PID gain scheduling under uncertain vehicle dynamics. Explicit physics context improves adaptation efficiency, but successful control remains possible without direct knowledge of system parameters. At the same time, the study highlights the importance of critically analysing simulation design choices when interpreting controller performance comparisons.</w:t>
      </w:r>
    </w:p>
    <w:p w14:paraId="305232FF" w14:textId="6E73FA83" w:rsidR="00EA4537" w:rsidRPr="00EA4537" w:rsidRDefault="00EA4537" w:rsidP="00EA4537">
      <w:pPr>
        <w:tabs>
          <w:tab w:val="left" w:pos="3300"/>
        </w:tabs>
      </w:pPr>
    </w:p>
    <w:p w14:paraId="5C7B2CEA" w14:textId="77777777" w:rsidR="00EA4537" w:rsidRPr="00EA4537" w:rsidRDefault="00EA4537" w:rsidP="00EA4537">
      <w:pPr>
        <w:tabs>
          <w:tab w:val="left" w:pos="3300"/>
        </w:tabs>
        <w:rPr>
          <w:b/>
          <w:bCs/>
        </w:rPr>
      </w:pPr>
      <w:r w:rsidRPr="00EA4537">
        <w:rPr>
          <w:b/>
          <w:bCs/>
        </w:rPr>
        <w:t>7.2 Future Work</w:t>
      </w:r>
    </w:p>
    <w:p w14:paraId="7C76E366" w14:textId="77777777" w:rsidR="00EA4537" w:rsidRPr="00EA4537" w:rsidRDefault="00EA4537" w:rsidP="00603BD8">
      <w:pPr>
        <w:tabs>
          <w:tab w:val="left" w:pos="3300"/>
        </w:tabs>
        <w:jc w:val="both"/>
      </w:pPr>
      <w:r w:rsidRPr="00EA4537">
        <w:t>Several directions for future research emerge naturally from the limitations and findings of this study.</w:t>
      </w:r>
    </w:p>
    <w:p w14:paraId="77FEAA73" w14:textId="77777777" w:rsidR="00EA4537" w:rsidRPr="00EA4537" w:rsidRDefault="00EA4537" w:rsidP="00603BD8">
      <w:pPr>
        <w:tabs>
          <w:tab w:val="left" w:pos="3300"/>
        </w:tabs>
        <w:jc w:val="both"/>
      </w:pPr>
      <w:r w:rsidRPr="00EA4537">
        <w:t>The most immediate opportunity concerns recurrent reinforcement learning architectures for no-reset control.</w:t>
      </w:r>
    </w:p>
    <w:p w14:paraId="7FDDFB47" w14:textId="77777777" w:rsidR="00EA4537" w:rsidRPr="00EA4537" w:rsidRDefault="00EA4537" w:rsidP="00603BD8">
      <w:pPr>
        <w:tabs>
          <w:tab w:val="left" w:pos="3300"/>
        </w:tabs>
        <w:jc w:val="both"/>
      </w:pPr>
      <w:r w:rsidRPr="00EA4537">
        <w:t>Attempts to retrain controllers without the brake integral reset mechanism did not converge successfully using PPO with a feedforward multilayer perceptron policy. A likely explanation is the long temporal credit-assignment challenge associated with integral windup control.</w:t>
      </w:r>
    </w:p>
    <w:p w14:paraId="01FDDC97" w14:textId="77777777" w:rsidR="00EA4537" w:rsidRPr="00EA4537" w:rsidRDefault="00EA4537" w:rsidP="00603BD8">
      <w:pPr>
        <w:tabs>
          <w:tab w:val="left" w:pos="3300"/>
        </w:tabs>
        <w:jc w:val="both"/>
      </w:pPr>
      <w:r w:rsidRPr="00EA4537">
        <w:t>The desired strategy requires suppressing integral gain early during target approach to avoid excessive accumulated integral influence that only becomes problematic hundreds of timesteps later during braking.</w:t>
      </w:r>
    </w:p>
    <w:p w14:paraId="030441D5" w14:textId="77777777" w:rsidR="00EA4537" w:rsidRPr="00EA4537" w:rsidRDefault="00EA4537" w:rsidP="00603BD8">
      <w:pPr>
        <w:tabs>
          <w:tab w:val="left" w:pos="3300"/>
        </w:tabs>
        <w:jc w:val="both"/>
      </w:pPr>
      <w:r w:rsidRPr="00EA4537">
        <w:t>Feedforward policies possess limited capacity to represent such long-term dependencies.</w:t>
      </w:r>
    </w:p>
    <w:p w14:paraId="555E4BF7" w14:textId="77777777" w:rsidR="00EA4537" w:rsidRPr="00EA4537" w:rsidRDefault="00EA4537" w:rsidP="00603BD8">
      <w:pPr>
        <w:tabs>
          <w:tab w:val="left" w:pos="3300"/>
        </w:tabs>
        <w:jc w:val="both"/>
      </w:pPr>
      <w:r w:rsidRPr="00EA4537">
        <w:t>Future work should therefore investigate recurrent architectures such as Long Short-Term Memory (LSTM) or Gated Recurrent Unit (GRU) policies. These models maintain explicit hidden state across the episode and may be better suited to tracking cumulative control history and learning long-horizon adaptive strategies without engineered anti-windup aids.</w:t>
      </w:r>
    </w:p>
    <w:p w14:paraId="1D952D6D" w14:textId="77777777" w:rsidR="00EA4537" w:rsidRPr="00EA4537" w:rsidRDefault="00EA4537" w:rsidP="00603BD8">
      <w:pPr>
        <w:tabs>
          <w:tab w:val="left" w:pos="3300"/>
        </w:tabs>
        <w:jc w:val="both"/>
      </w:pPr>
      <w:r w:rsidRPr="00EA4537">
        <w:t>A second important direction involves multi-seed evaluation.</w:t>
      </w:r>
    </w:p>
    <w:p w14:paraId="7EFC739A" w14:textId="77777777" w:rsidR="00EA4537" w:rsidRPr="00EA4537" w:rsidRDefault="00EA4537" w:rsidP="00603BD8">
      <w:pPr>
        <w:tabs>
          <w:tab w:val="left" w:pos="3300"/>
        </w:tabs>
        <w:jc w:val="both"/>
      </w:pPr>
      <w:r w:rsidRPr="00EA4537">
        <w:t>All reported results in this thesis were generated using a single training seed. While the observed behaviour appears stable and internally consistent, deep reinforcement learning methods are known to exhibit substantial sensitivity to stochastic initialisation.</w:t>
      </w:r>
    </w:p>
    <w:p w14:paraId="35EBE650" w14:textId="77777777" w:rsidR="00EA4537" w:rsidRPr="00EA4537" w:rsidRDefault="00EA4537" w:rsidP="00603BD8">
      <w:pPr>
        <w:tabs>
          <w:tab w:val="left" w:pos="3300"/>
        </w:tabs>
        <w:jc w:val="both"/>
      </w:pPr>
      <w:r w:rsidRPr="00EA4537">
        <w:t>Future experiments should therefore evaluate both Stage 5a and Stage 5b controllers across multiple independent training seeds, such as 7, 21, 42, 84, and 123.</w:t>
      </w:r>
    </w:p>
    <w:p w14:paraId="35EF5F35" w14:textId="77777777" w:rsidR="00EA4537" w:rsidRPr="00EA4537" w:rsidRDefault="00EA4537" w:rsidP="00603BD8">
      <w:pPr>
        <w:tabs>
          <w:tab w:val="left" w:pos="3300"/>
        </w:tabs>
        <w:jc w:val="both"/>
      </w:pPr>
      <w:r w:rsidRPr="00EA4537">
        <w:t>Reporting mean performance, standard deviation, and confidence intervals across these runs would significantly strengthen conclusions regarding reproducibility and robustness.</w:t>
      </w:r>
    </w:p>
    <w:p w14:paraId="3B244D6B" w14:textId="77777777" w:rsidR="00EA4537" w:rsidRPr="00EA4537" w:rsidRDefault="00EA4537" w:rsidP="00603BD8">
      <w:pPr>
        <w:tabs>
          <w:tab w:val="left" w:pos="3300"/>
        </w:tabs>
        <w:jc w:val="both"/>
      </w:pPr>
      <w:r w:rsidRPr="00EA4537">
        <w:t>Another area for improvement concerns disturbance timing.</w:t>
      </w:r>
    </w:p>
    <w:p w14:paraId="7ABAE18D" w14:textId="77777777" w:rsidR="00EA4537" w:rsidRPr="00EA4537" w:rsidRDefault="00EA4537" w:rsidP="00603BD8">
      <w:pPr>
        <w:tabs>
          <w:tab w:val="left" w:pos="3300"/>
        </w:tabs>
        <w:jc w:val="both"/>
      </w:pPr>
      <w:r w:rsidRPr="00EA4537">
        <w:lastRenderedPageBreak/>
        <w:t>The current disturbance mechanism activates relatively late within the episode, often after the controller has already settled successfully at the target. Consequently, the dynamic evaluation only weakly challenges online adaptation capability.</w:t>
      </w:r>
    </w:p>
    <w:p w14:paraId="6E6BDCB3" w14:textId="77777777" w:rsidR="00EA4537" w:rsidRPr="00EA4537" w:rsidRDefault="00EA4537" w:rsidP="00603BD8">
      <w:pPr>
        <w:tabs>
          <w:tab w:val="left" w:pos="3300"/>
        </w:tabs>
        <w:jc w:val="both"/>
      </w:pPr>
      <w:r w:rsidRPr="00EA4537">
        <w:t>Future experiments should move the disturbance activation window earlier in the episode, for example to steps 30–80 during the active approach phase.</w:t>
      </w:r>
    </w:p>
    <w:p w14:paraId="3AFEB03F" w14:textId="77777777" w:rsidR="00EA4537" w:rsidRPr="00EA4537" w:rsidRDefault="00EA4537" w:rsidP="00603BD8">
      <w:pPr>
        <w:tabs>
          <w:tab w:val="left" w:pos="3300"/>
        </w:tabs>
        <w:jc w:val="both"/>
      </w:pPr>
      <w:r w:rsidRPr="00EA4537">
        <w:t>Such timing would ensure that controllers must respond to changing physics conditions while transient control behaviour is still ongoing, providing a stronger and more meaningful robustness evaluation.</w:t>
      </w:r>
    </w:p>
    <w:p w14:paraId="57BC260B" w14:textId="77777777" w:rsidR="00EA4537" w:rsidRPr="00EA4537" w:rsidRDefault="00EA4537" w:rsidP="00603BD8">
      <w:pPr>
        <w:tabs>
          <w:tab w:val="left" w:pos="3300"/>
        </w:tabs>
        <w:jc w:val="both"/>
      </w:pPr>
      <w:r w:rsidRPr="00EA4537">
        <w:t>The simulation model itself also offers opportunities for refinement.</w:t>
      </w:r>
    </w:p>
    <w:p w14:paraId="680C66EF" w14:textId="77777777" w:rsidR="00EA4537" w:rsidRPr="00EA4537" w:rsidRDefault="00EA4537" w:rsidP="00603BD8">
      <w:pPr>
        <w:tabs>
          <w:tab w:val="left" w:pos="3300"/>
        </w:tabs>
        <w:jc w:val="both"/>
      </w:pPr>
      <w:r w:rsidRPr="00EA4537">
        <w:t>The present environment employs rolling wheel dynamics in which friction exerts limited influence on translational vehicle behaviour during non-slipping motion. As a result, friction randomisation contributes comparatively little meaningful variation during training.</w:t>
      </w:r>
    </w:p>
    <w:p w14:paraId="3ED5D117" w14:textId="77777777" w:rsidR="00EA4537" w:rsidRPr="00EA4537" w:rsidRDefault="00EA4537" w:rsidP="00603BD8">
      <w:pPr>
        <w:tabs>
          <w:tab w:val="left" w:pos="3300"/>
        </w:tabs>
        <w:jc w:val="both"/>
      </w:pPr>
      <w:r w:rsidRPr="00EA4537">
        <w:t>Future work could address this limitation by introducing velocity-dependent friction, viscous damping, wheel slip dynamics, or alternative contact formulations.</w:t>
      </w:r>
    </w:p>
    <w:p w14:paraId="2BC33945" w14:textId="77777777" w:rsidR="00EA4537" w:rsidRPr="00EA4537" w:rsidRDefault="00EA4537" w:rsidP="00603BD8">
      <w:pPr>
        <w:tabs>
          <w:tab w:val="left" w:pos="3300"/>
        </w:tabs>
        <w:jc w:val="both"/>
      </w:pPr>
      <w:r w:rsidRPr="00EA4537">
        <w:t>Adding such effects would make friction changes measurably relevant to vehicle dynamics and strengthen the usefulness of domain randomisation across multiple physical dimensions.</w:t>
      </w:r>
    </w:p>
    <w:p w14:paraId="7B78E4B4" w14:textId="77777777" w:rsidR="00EA4537" w:rsidRPr="00EA4537" w:rsidRDefault="00EA4537" w:rsidP="00603BD8">
      <w:pPr>
        <w:tabs>
          <w:tab w:val="left" w:pos="3300"/>
        </w:tabs>
        <w:jc w:val="both"/>
      </w:pPr>
      <w:r w:rsidRPr="00EA4537">
        <w:t>Another long-term research direction concerns transfer from simulation to real hardware.</w:t>
      </w:r>
    </w:p>
    <w:p w14:paraId="67EAC905" w14:textId="77777777" w:rsidR="00EA4537" w:rsidRPr="00EA4537" w:rsidRDefault="00EA4537" w:rsidP="00603BD8">
      <w:pPr>
        <w:tabs>
          <w:tab w:val="left" w:pos="3300"/>
        </w:tabs>
        <w:jc w:val="both"/>
      </w:pPr>
      <w:r w:rsidRPr="00EA4537">
        <w:t>Although the present work focuses entirely on simulation-based evaluation, practical deployment would require addressing the sim-to-real gap. Differences between simulated and real systems, including actuator delays, sensor noise, unmodelled dynamics, and parameter uncertainty, can significantly degrade policy performance.</w:t>
      </w:r>
    </w:p>
    <w:p w14:paraId="352EB9EE" w14:textId="77777777" w:rsidR="00EA4537" w:rsidRPr="00EA4537" w:rsidRDefault="00EA4537" w:rsidP="00603BD8">
      <w:pPr>
        <w:tabs>
          <w:tab w:val="left" w:pos="3300"/>
        </w:tabs>
        <w:jc w:val="both"/>
      </w:pPr>
      <w:r w:rsidRPr="00EA4537">
        <w:t>Bridging this gap would likely require additional domain randomisation strategies, system identification techniques, robust training procedures, or hardware-in-the-loop validation.</w:t>
      </w:r>
    </w:p>
    <w:p w14:paraId="5C9FB5A1" w14:textId="77777777" w:rsidR="00EA4537" w:rsidRPr="00EA4537" w:rsidRDefault="00EA4537" w:rsidP="00603BD8">
      <w:pPr>
        <w:tabs>
          <w:tab w:val="left" w:pos="3300"/>
        </w:tabs>
        <w:jc w:val="both"/>
      </w:pPr>
      <w:r w:rsidRPr="00EA4537">
        <w:t>However, real-world deployment lies beyond the scope of the present thesis.</w:t>
      </w:r>
    </w:p>
    <w:p w14:paraId="7607B6FA" w14:textId="77777777" w:rsidR="00EA4537" w:rsidRPr="00EA4537" w:rsidRDefault="00EA4537" w:rsidP="00603BD8">
      <w:pPr>
        <w:tabs>
          <w:tab w:val="left" w:pos="3300"/>
        </w:tabs>
        <w:jc w:val="both"/>
      </w:pPr>
      <w:r w:rsidRPr="00EA4537">
        <w:t>Finally, future work should expand comparative baseline evaluation.</w:t>
      </w:r>
    </w:p>
    <w:p w14:paraId="21039EB1" w14:textId="77777777" w:rsidR="00EA4537" w:rsidRPr="00EA4537" w:rsidRDefault="00EA4537" w:rsidP="00603BD8">
      <w:pPr>
        <w:tabs>
          <w:tab w:val="left" w:pos="3300"/>
        </w:tabs>
        <w:jc w:val="both"/>
      </w:pPr>
      <w:r w:rsidRPr="00EA4537">
        <w:t>Although MRAC was implemented during development and failed to converge within the investigated environment, a more rigorous comparative study between reinforcement learning and established adaptive control approaches would provide valuable insight.</w:t>
      </w:r>
    </w:p>
    <w:p w14:paraId="22EBA82C" w14:textId="77777777" w:rsidR="00EA4537" w:rsidRPr="00EA4537" w:rsidRDefault="00EA4537" w:rsidP="00603BD8">
      <w:pPr>
        <w:tabs>
          <w:tab w:val="left" w:pos="3300"/>
        </w:tabs>
        <w:jc w:val="both"/>
      </w:pPr>
      <w:r w:rsidRPr="00EA4537">
        <w:t>Additional reinforcement learning algorithms should also be considered. The present work relies exclusively on PPO, an on-policy method.</w:t>
      </w:r>
    </w:p>
    <w:p w14:paraId="459F587B" w14:textId="77777777" w:rsidR="00EA4537" w:rsidRPr="00EA4537" w:rsidRDefault="00EA4537" w:rsidP="00603BD8">
      <w:pPr>
        <w:tabs>
          <w:tab w:val="left" w:pos="3300"/>
        </w:tabs>
        <w:jc w:val="both"/>
      </w:pPr>
      <w:r w:rsidRPr="00EA4537">
        <w:lastRenderedPageBreak/>
        <w:t>Alternative algorithms such as Soft Actor–Critic (SAC) and Twin Delayed Deep Deterministic Policy Gradient (TD3) may exhibit different learning characteristics, sample efficiency properties, or adaptation capabilities.</w:t>
      </w:r>
    </w:p>
    <w:p w14:paraId="0D123EE1" w14:textId="77777777" w:rsidR="00EA4537" w:rsidRPr="00EA4537" w:rsidRDefault="00EA4537" w:rsidP="00603BD8">
      <w:pPr>
        <w:tabs>
          <w:tab w:val="left" w:pos="3300"/>
        </w:tabs>
        <w:jc w:val="both"/>
      </w:pPr>
      <w:r w:rsidRPr="00EA4537">
        <w:t>Comparative evaluation across multiple algorithmic families would help determine whether PPO is the most appropriate reinforcement learning framework for adaptive PID gain scheduling problems.</w:t>
      </w:r>
    </w:p>
    <w:p w14:paraId="1002E933" w14:textId="77777777" w:rsidR="00EA4537" w:rsidRPr="00EA4537" w:rsidRDefault="00EA4537" w:rsidP="00603BD8">
      <w:pPr>
        <w:tabs>
          <w:tab w:val="left" w:pos="3300"/>
        </w:tabs>
        <w:jc w:val="both"/>
      </w:pPr>
      <w:r w:rsidRPr="00EA4537">
        <w:t>In summary, future research should focus on recurrent adaptive policies, multi-seed validation, stronger disturbance testing, richer physics modelling, sim-to-real transfer, and broader comparative evaluation. Addressing these areas would strengthen understanding of reinforcement learning–based adaptive PID control and clarify its practical advantages relative to classical adaptive control methodologies.</w:t>
      </w:r>
    </w:p>
    <w:p w14:paraId="42841A23" w14:textId="5AB90A7D" w:rsidR="003A4D9D" w:rsidRDefault="003A4D9D" w:rsidP="00603BD8">
      <w:pPr>
        <w:tabs>
          <w:tab w:val="left" w:pos="3300"/>
        </w:tabs>
        <w:jc w:val="both"/>
      </w:pPr>
    </w:p>
    <w:sectPr w:rsidR="003A4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9D"/>
    <w:rsid w:val="003A4D9D"/>
    <w:rsid w:val="00603BD8"/>
    <w:rsid w:val="006B7341"/>
    <w:rsid w:val="00986C8C"/>
    <w:rsid w:val="00CD1075"/>
    <w:rsid w:val="00EA4537"/>
    <w:rsid w:val="00EC5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B54E"/>
  <w15:chartTrackingRefBased/>
  <w15:docId w15:val="{7C74C3B6-3E1D-41D8-9EEB-5BFC66E74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D9D"/>
    <w:rPr>
      <w:rFonts w:eastAsiaTheme="majorEastAsia" w:cstheme="majorBidi"/>
      <w:color w:val="272727" w:themeColor="text1" w:themeTint="D8"/>
    </w:rPr>
  </w:style>
  <w:style w:type="paragraph" w:styleId="Title">
    <w:name w:val="Title"/>
    <w:basedOn w:val="Normal"/>
    <w:next w:val="Normal"/>
    <w:link w:val="TitleChar"/>
    <w:uiPriority w:val="10"/>
    <w:qFormat/>
    <w:rsid w:val="003A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D9D"/>
    <w:pPr>
      <w:spacing w:before="160"/>
      <w:jc w:val="center"/>
    </w:pPr>
    <w:rPr>
      <w:i/>
      <w:iCs/>
      <w:color w:val="404040" w:themeColor="text1" w:themeTint="BF"/>
    </w:rPr>
  </w:style>
  <w:style w:type="character" w:customStyle="1" w:styleId="QuoteChar">
    <w:name w:val="Quote Char"/>
    <w:basedOn w:val="DefaultParagraphFont"/>
    <w:link w:val="Quote"/>
    <w:uiPriority w:val="29"/>
    <w:rsid w:val="003A4D9D"/>
    <w:rPr>
      <w:i/>
      <w:iCs/>
      <w:color w:val="404040" w:themeColor="text1" w:themeTint="BF"/>
    </w:rPr>
  </w:style>
  <w:style w:type="paragraph" w:styleId="ListParagraph">
    <w:name w:val="List Paragraph"/>
    <w:basedOn w:val="Normal"/>
    <w:uiPriority w:val="34"/>
    <w:qFormat/>
    <w:rsid w:val="003A4D9D"/>
    <w:pPr>
      <w:ind w:left="720"/>
      <w:contextualSpacing/>
    </w:pPr>
  </w:style>
  <w:style w:type="character" w:styleId="IntenseEmphasis">
    <w:name w:val="Intense Emphasis"/>
    <w:basedOn w:val="DefaultParagraphFont"/>
    <w:uiPriority w:val="21"/>
    <w:qFormat/>
    <w:rsid w:val="003A4D9D"/>
    <w:rPr>
      <w:i/>
      <w:iCs/>
      <w:color w:val="0F4761" w:themeColor="accent1" w:themeShade="BF"/>
    </w:rPr>
  </w:style>
  <w:style w:type="paragraph" w:styleId="IntenseQuote">
    <w:name w:val="Intense Quote"/>
    <w:basedOn w:val="Normal"/>
    <w:next w:val="Normal"/>
    <w:link w:val="IntenseQuoteChar"/>
    <w:uiPriority w:val="30"/>
    <w:qFormat/>
    <w:rsid w:val="003A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D9D"/>
    <w:rPr>
      <w:i/>
      <w:iCs/>
      <w:color w:val="0F4761" w:themeColor="accent1" w:themeShade="BF"/>
    </w:rPr>
  </w:style>
  <w:style w:type="character" w:styleId="IntenseReference">
    <w:name w:val="Intense Reference"/>
    <w:basedOn w:val="DefaultParagraphFont"/>
    <w:uiPriority w:val="32"/>
    <w:qFormat/>
    <w:rsid w:val="003A4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945612">
      <w:bodyDiv w:val="1"/>
      <w:marLeft w:val="0"/>
      <w:marRight w:val="0"/>
      <w:marTop w:val="0"/>
      <w:marBottom w:val="0"/>
      <w:divBdr>
        <w:top w:val="none" w:sz="0" w:space="0" w:color="auto"/>
        <w:left w:val="none" w:sz="0" w:space="0" w:color="auto"/>
        <w:bottom w:val="none" w:sz="0" w:space="0" w:color="auto"/>
        <w:right w:val="none" w:sz="0" w:space="0" w:color="auto"/>
      </w:divBdr>
    </w:div>
    <w:div w:id="199544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1555</Words>
  <Characters>8868</Characters>
  <Application>Microsoft Office Word</Application>
  <DocSecurity>0</DocSecurity>
  <Lines>73</Lines>
  <Paragraphs>20</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Uddeepana Rajasekara</dc:creator>
  <cp:keywords/>
  <dc:description/>
  <cp:lastModifiedBy>Uddeepana Rajasekara</cp:lastModifiedBy>
  <cp:revision>6</cp:revision>
  <dcterms:created xsi:type="dcterms:W3CDTF">2026-06-01T14:35:00Z</dcterms:created>
  <dcterms:modified xsi:type="dcterms:W3CDTF">2026-06-01T14:37:00Z</dcterms:modified>
</cp:coreProperties>
</file>