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11E61AE2" w14:textId="143FD59C" w:rsidR="00F9580D" w:rsidRDefault="00F9580D" w:rsidP="00F9580D">
      <w:r w:rsidRPr="00A566D1">
        <w:t xml:space="preserve">This document provides information about </w:t>
      </w:r>
      <w:r>
        <w:t>the predictive model for students’ risk of withdrawal in the next year</w:t>
      </w:r>
      <w:r w:rsidRPr="00A566D1">
        <w:t xml:space="preserve">. It </w:t>
      </w:r>
      <w:r>
        <w:t>defines the population of interest, details the variables</w:t>
      </w:r>
      <w:r w:rsidRPr="00A566D1">
        <w:t xml:space="preserve"> in the model</w:t>
      </w:r>
      <w:r>
        <w:t>, describes the data sources and methodologies used, provides intuitions for how the machine learning algorithms work, outlines the process by which the model predictions are classified,</w:t>
      </w:r>
      <w:r w:rsidRPr="00A566D1">
        <w:t xml:space="preserve"> and p</w:t>
      </w:r>
      <w:r>
        <w:t>resents</w:t>
      </w:r>
      <w:r w:rsidRPr="00A566D1">
        <w:t xml:space="preserve"> metric</w:t>
      </w:r>
      <w:r>
        <w:t>s of the overall model performance.</w:t>
      </w:r>
    </w:p>
    <w:p w14:paraId="43A20287" w14:textId="0A8F68F8" w:rsidR="00F9580D" w:rsidRPr="00A566D1" w:rsidRDefault="00F9580D" w:rsidP="00F9580D">
      <w:r w:rsidRPr="00A566D1">
        <w:t xml:space="preserve">The </w:t>
      </w:r>
      <w:r>
        <w:t xml:space="preserve">student risk model uses student data and supplemental socioeconomic data </w:t>
      </w:r>
      <w:r w:rsidRPr="00A566D1">
        <w:t>to predict the pro</w:t>
      </w:r>
      <w:r>
        <w:t xml:space="preserve">bability that a student </w:t>
      </w:r>
      <w:r w:rsidRPr="00A566D1">
        <w:t xml:space="preserve">will </w:t>
      </w:r>
      <w:r>
        <w:t xml:space="preserve">not </w:t>
      </w:r>
      <w:r w:rsidRPr="00A566D1">
        <w:t xml:space="preserve">persist </w:t>
      </w:r>
      <w:r w:rsidR="002D550D">
        <w:t>in</w:t>
      </w:r>
      <w:r w:rsidRPr="00A566D1">
        <w:t>to the next ac</w:t>
      </w:r>
      <w:r>
        <w:t>ademic year</w:t>
      </w:r>
      <w:r w:rsidRPr="00A566D1">
        <w:t xml:space="preserve">. This is </w:t>
      </w:r>
      <w:r>
        <w:t>accomplished by first “training”</w:t>
      </w:r>
      <w:r w:rsidRPr="00A566D1">
        <w:t xml:space="preserve"> </w:t>
      </w:r>
      <w:r>
        <w:t>the</w:t>
      </w:r>
      <w:r w:rsidRPr="00A566D1">
        <w:t xml:space="preserve"> statistical model </w:t>
      </w:r>
      <w:r>
        <w:t>using historical data from prior year cohorts and then using that trained model to predict the outcomes for the current year cohort.</w:t>
      </w:r>
    </w:p>
    <w:p w14:paraId="3947D840" w14:textId="77777777" w:rsidR="00F9580D" w:rsidRPr="000C29F0" w:rsidRDefault="00F9580D" w:rsidP="00F9580D">
      <w:r w:rsidRPr="00A566D1">
        <w:t>The</w:t>
      </w:r>
      <w:r>
        <w:t>se</w:t>
      </w:r>
      <w:r w:rsidRPr="00A566D1">
        <w:t xml:space="preserve"> </w:t>
      </w:r>
      <w:r>
        <w:t>predictions are represented as</w:t>
      </w:r>
      <w:r w:rsidRPr="00A566D1">
        <w:t xml:space="preserve"> </w:t>
      </w:r>
      <w:r>
        <w:t xml:space="preserve">values </w:t>
      </w:r>
      <w:r w:rsidRPr="00A566D1">
        <w:t>between zero and one</w:t>
      </w:r>
      <w:r>
        <w:t>, which</w:t>
      </w:r>
      <w:r w:rsidRPr="00A566D1">
        <w:t xml:space="preserve"> </w:t>
      </w:r>
      <w:r>
        <w:t xml:space="preserve">are the probability estimates that </w:t>
      </w:r>
      <w:r w:rsidRPr="00A566D1">
        <w:t>student</w:t>
      </w:r>
      <w:r>
        <w:t>s</w:t>
      </w:r>
      <w:r w:rsidRPr="00A566D1">
        <w:t xml:space="preserve"> will</w:t>
      </w:r>
      <w:r w:rsidRPr="008A2FA8">
        <w:t xml:space="preserve"> not</w:t>
      </w:r>
      <w:r>
        <w:t xml:space="preserve"> be retained</w:t>
      </w:r>
      <w:r w:rsidRPr="00A566D1">
        <w:t xml:space="preserve"> </w:t>
      </w:r>
      <w:r>
        <w:t xml:space="preserve">in </w:t>
      </w:r>
      <w:r w:rsidRPr="00A566D1">
        <w:t xml:space="preserve">the next </w:t>
      </w:r>
      <w:r>
        <w:t>year</w:t>
      </w:r>
      <w:r w:rsidRPr="00A566D1">
        <w:t xml:space="preserve">. </w:t>
      </w:r>
      <w:r>
        <w:t>It</w:t>
      </w:r>
      <w:r w:rsidRPr="00A566D1">
        <w:t xml:space="preserve"> is importa</w:t>
      </w:r>
      <w:r>
        <w:t>nt to note that probability values nearing one do not mean each of those students will not be retained</w:t>
      </w:r>
      <w:r w:rsidRPr="00A566D1">
        <w:t xml:space="preserve">. </w:t>
      </w:r>
      <w:r>
        <w:t>Likewise, probability values nearing</w:t>
      </w:r>
      <w:r w:rsidRPr="00A566D1">
        <w:t xml:space="preserve"> </w:t>
      </w:r>
      <w:r>
        <w:t>zero do not mean each of those students will be retained. Instead, the probabilities reflect average expectations. For example, a probability value of .800 (or 80.0%)</w:t>
      </w:r>
      <w:r w:rsidRPr="00A566D1">
        <w:t xml:space="preserve"> </w:t>
      </w:r>
      <w:r>
        <w:t>reflects the average expectation that eight out of ten students with factors leading to the same estimated risk of withdrawal will not be retained in the next year.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1D6D8D5F" w:rsidR="00B54F1B" w:rsidRPr="00B54F1B" w:rsidRDefault="00E26651" w:rsidP="00DA0090">
      <w:r>
        <w:t>F</w:t>
      </w:r>
      <w:r w:rsidR="005930D0">
        <w:t>ull-time</w:t>
      </w:r>
      <w:r>
        <w:t xml:space="preserve">, first-year and transfer </w:t>
      </w:r>
      <w:r w:rsidR="00B54F1B">
        <w:t>undergraduates.</w:t>
      </w:r>
      <w:bookmarkStart w:id="0" w:name="_GoBack"/>
      <w:bookmarkEnd w:id="0"/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r>
        <w:rPr>
          <w:i/>
        </w:rPr>
        <w:t>m</w:t>
      </w:r>
      <w:r w:rsidR="00E30BF7" w:rsidRPr="00156345">
        <w:rPr>
          <w:i/>
        </w:rPr>
        <w:t>ale</w:t>
      </w:r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55896FB3" w14:textId="182640E0" w:rsidR="002D75AF" w:rsidRDefault="002D75AF" w:rsidP="002D75AF">
      <w:pPr>
        <w:rPr>
          <w:i/>
        </w:rPr>
      </w:pPr>
      <w:proofErr w:type="spellStart"/>
      <w:r>
        <w:rPr>
          <w:i/>
        </w:rPr>
        <w:lastRenderedPageBreak/>
        <w:t>educ_rate</w:t>
      </w:r>
      <w:proofErr w:type="spellEnd"/>
      <w:r>
        <w:rPr>
          <w:i/>
        </w:rPr>
        <w:t xml:space="preserve"> (supplemental)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47F697F4" w14:textId="659927B8" w:rsidR="003646C9" w:rsidRDefault="003646C9" w:rsidP="0002517E">
      <w:r w:rsidRPr="003646C9">
        <w:t>An indicator variable for underrepresented minority status with a reference category of non-underrepresented minority status. Underrepresented minorities include students identifying as Black, Hispanic, American Indian, Native Hawaiian and Pacific Islander, or two or more races</w:t>
      </w:r>
      <w:r>
        <w:t>.</w:t>
      </w:r>
    </w:p>
    <w:p w14:paraId="71141665" w14:textId="0C9FB2C0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57D9A7ED" w:rsid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540C2004" w14:textId="70350906" w:rsidR="00E92C74" w:rsidRDefault="00E92C74" w:rsidP="0002517E"/>
    <w:p w14:paraId="3DA827A3" w14:textId="77777777" w:rsidR="00E92C74" w:rsidRPr="00263A48" w:rsidRDefault="00E92C74" w:rsidP="0002517E"/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332BDCC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34C1A000" w14:textId="723ED372" w:rsidR="007F2536" w:rsidRPr="007F2536" w:rsidRDefault="007F2536" w:rsidP="0002517E">
      <w:r>
        <w:t>A continuous variable for the average “difficulty” of the courses in which the student is registered in the fall.</w:t>
      </w:r>
    </w:p>
    <w:p w14:paraId="2B7BFEE7" w14:textId="17E3DD7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1BB3EB69" w14:textId="599E5CAE" w:rsidR="007F2536" w:rsidRPr="007F2536" w:rsidRDefault="007F2536" w:rsidP="0002517E">
      <w:r>
        <w:t>A continuous variable for the average percentage of C, D, and F letter grade to enrollments for the courses in which the student is registered in the fall.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2BBCCCB9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4C745CC4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27179F59" w14:textId="77777777" w:rsidR="00AC72A1" w:rsidRDefault="00AC72A1" w:rsidP="0002517E"/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lastRenderedPageBreak/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440678E" w:rsidR="004D6C77" w:rsidRPr="00887B01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D8A4AEC" w14:textId="4ABF2795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fall_withdrawn_hours</w:t>
      </w:r>
      <w:proofErr w:type="spellEnd"/>
      <w:r w:rsidRPr="00FC4528">
        <w:rPr>
          <w:i/>
        </w:rPr>
        <w:t xml:space="preserve"> (internal)</w:t>
      </w:r>
    </w:p>
    <w:p w14:paraId="225E6782" w14:textId="644FCD8D" w:rsidR="00FC4528" w:rsidRPr="00FC4528" w:rsidRDefault="00FC4528" w:rsidP="004D6C77">
      <w:r>
        <w:t>A discrete variable for the number of credit hours a student has withdrawn from since census day of the fall term.</w:t>
      </w:r>
    </w:p>
    <w:p w14:paraId="7863CB36" w14:textId="1AB59AAE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spring_withdrawn_hours</w:t>
      </w:r>
      <w:proofErr w:type="spellEnd"/>
      <w:r w:rsidRPr="00FC4528">
        <w:rPr>
          <w:i/>
        </w:rPr>
        <w:t xml:space="preserve">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2E3E3A7" w14:textId="77777777" w:rsidR="00F70174" w:rsidRDefault="00E30BF7" w:rsidP="00086AA6">
      <w:pPr>
        <w:rPr>
          <w:i/>
        </w:rPr>
      </w:pPr>
      <w:r w:rsidRPr="00156345">
        <w:rPr>
          <w:i/>
        </w:rPr>
        <w:t>resident</w:t>
      </w:r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6ABF9645" w14:textId="77777777" w:rsidR="007130D5" w:rsidRDefault="007130D5" w:rsidP="00FC4528">
      <w:pPr>
        <w:rPr>
          <w:i/>
        </w:rPr>
      </w:pPr>
    </w:p>
    <w:p w14:paraId="5AB668D7" w14:textId="52F4D4F8" w:rsidR="00FC4528" w:rsidRDefault="00FC4528" w:rsidP="00FC4528">
      <w:pPr>
        <w:rPr>
          <w:i/>
        </w:rPr>
      </w:pPr>
      <w:proofErr w:type="spellStart"/>
      <w:r>
        <w:rPr>
          <w:i/>
        </w:rPr>
        <w:lastRenderedPageBreak/>
        <w:t>fall</w:t>
      </w:r>
      <w:r w:rsidRPr="004D6C77">
        <w:rPr>
          <w:i/>
        </w:rPr>
        <w:t>_midterm_gpa_</w:t>
      </w:r>
      <w:r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159B0A42" w14:textId="021A1C37" w:rsidR="007130D5" w:rsidRPr="007130D5" w:rsidRDefault="007130D5" w:rsidP="00FC4528">
      <w:r>
        <w:t>A continuous variable for the averaged midterm GPA for the courses in which the student is registered in the fall.</w:t>
      </w:r>
    </w:p>
    <w:p w14:paraId="6E700681" w14:textId="727F3AB9" w:rsidR="00FC4528" w:rsidRDefault="00FC4528" w:rsidP="00086AA6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_midterm_gpa_avg_ind</w:t>
      </w:r>
      <w:proofErr w:type="spellEnd"/>
      <w:r>
        <w:rPr>
          <w:i/>
        </w:rPr>
        <w:t xml:space="preserve"> (internal)</w:t>
      </w:r>
    </w:p>
    <w:p w14:paraId="15FCAF3E" w14:textId="19F0C811" w:rsidR="007130D5" w:rsidRPr="007130D5" w:rsidRDefault="007130D5" w:rsidP="00086AA6">
      <w:r>
        <w:t xml:space="preserve">An indicator variable for the presence of a midterm GPA </w:t>
      </w:r>
      <w:r w:rsidR="001757F6">
        <w:t>for the student in the fall with a reference category of non-graded.</w:t>
      </w:r>
    </w:p>
    <w:p w14:paraId="388F610A" w14:textId="3EB91C08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</w:t>
      </w:r>
      <w:r w:rsidR="00FC4528"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r w:rsidRPr="00156345">
        <w:rPr>
          <w:i/>
        </w:rPr>
        <w:t>remedial</w:t>
      </w:r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24989DAF" w14:textId="0215C282" w:rsid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030C8EDB" w:rsidR="00652B35" w:rsidRDefault="00F12DC0" w:rsidP="004F432E">
      <w:proofErr w:type="spellStart"/>
      <w:r>
        <w:t>count_</w:t>
      </w:r>
      <w:r w:rsidR="001A6369">
        <w:t>week_from_term_begin_dt</w:t>
      </w:r>
      <w:proofErr w:type="spellEnd"/>
      <w:r w:rsidR="001A6369">
        <w:t xml:space="preserve"> (internal)</w:t>
      </w:r>
    </w:p>
    <w:p w14:paraId="3F818F24" w14:textId="270DEBB3" w:rsidR="001A6369" w:rsidRDefault="00D51172" w:rsidP="004F432E">
      <w:r>
        <w:t xml:space="preserve">A discrete variable for the week number in which the student applied during the application cycle. </w:t>
      </w:r>
    </w:p>
    <w:p w14:paraId="7B3D28D9" w14:textId="73362611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cahnrs_anml</w:t>
      </w:r>
      <w:proofErr w:type="spellEnd"/>
      <w:r w:rsidRPr="00F27280">
        <w:rPr>
          <w:i/>
        </w:rPr>
        <w:t xml:space="preserve"> (internal)</w:t>
      </w:r>
      <w:r>
        <w:rPr>
          <w:i/>
        </w:rPr>
        <w:t xml:space="preserve"> </w:t>
      </w:r>
      <w:r w:rsidRPr="001B6BA5">
        <w:t>***</w:t>
      </w:r>
    </w:p>
    <w:p w14:paraId="74550B15" w14:textId="77777777" w:rsidR="00DD4D56" w:rsidRDefault="00DD4D56" w:rsidP="00DD4D56">
      <w:r>
        <w:t>An indicator variable for primary plan holder in Animal Sciences with a reference category of non-plan holder.</w:t>
      </w:r>
    </w:p>
    <w:p w14:paraId="07A81229" w14:textId="77777777" w:rsidR="00DD4D56" w:rsidRDefault="00DD4D56" w:rsidP="00DD4D56"/>
    <w:p w14:paraId="7D972760" w14:textId="7F5F5761" w:rsidR="00DD4D56" w:rsidRDefault="00DD4D56" w:rsidP="00DD4D56">
      <w:proofErr w:type="spellStart"/>
      <w:r>
        <w:lastRenderedPageBreak/>
        <w:t>cahnrs_envr</w:t>
      </w:r>
      <w:proofErr w:type="spellEnd"/>
      <w:r>
        <w:t xml:space="preserve"> (internal)</w:t>
      </w:r>
    </w:p>
    <w:p w14:paraId="2ACE8CBB" w14:textId="77777777" w:rsidR="00DD4D56" w:rsidRDefault="00DD4D56" w:rsidP="00DD4D56">
      <w:r>
        <w:t>An indicator variable for primary plan holder in School of the Environment with a reference category of non-plan holder.</w:t>
      </w:r>
    </w:p>
    <w:p w14:paraId="50F9A957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cahnrs_econ</w:t>
      </w:r>
      <w:proofErr w:type="spellEnd"/>
      <w:r w:rsidRPr="00F27280">
        <w:rPr>
          <w:i/>
        </w:rPr>
        <w:t xml:space="preserve"> (internal)</w:t>
      </w:r>
    </w:p>
    <w:p w14:paraId="14E24C6B" w14:textId="77777777" w:rsidR="00DD4D56" w:rsidRDefault="00DD4D56" w:rsidP="00DD4D56">
      <w:r>
        <w:t xml:space="preserve">An indicator variable for primary plan holder in </w:t>
      </w:r>
      <w:r w:rsidRPr="00F27280">
        <w:t>School of Economic Sciences</w:t>
      </w:r>
      <w:r>
        <w:t xml:space="preserve"> with a reference category of non-plan holder.</w:t>
      </w:r>
    </w:p>
    <w:p w14:paraId="489A683B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cahnrext</w:t>
      </w:r>
      <w:proofErr w:type="spellEnd"/>
      <w:r w:rsidRPr="00F27280">
        <w:rPr>
          <w:i/>
        </w:rPr>
        <w:t xml:space="preserve"> (internal)</w:t>
      </w:r>
    </w:p>
    <w:p w14:paraId="669D8496" w14:textId="77777777" w:rsidR="00DD4D56" w:rsidRDefault="00DD4D56" w:rsidP="00DD4D56">
      <w:r>
        <w:t>An indicator variable for primary plan holder in CAHNRS other than those listed above with a reference category of non-plan holder.</w:t>
      </w:r>
    </w:p>
    <w:p w14:paraId="43F45093" w14:textId="77777777" w:rsidR="00DD4D56" w:rsidRPr="00AF7A56" w:rsidRDefault="00DD4D56" w:rsidP="00DD4D56">
      <w:pPr>
        <w:rPr>
          <w:i/>
        </w:rPr>
      </w:pPr>
      <w:proofErr w:type="spellStart"/>
      <w:r w:rsidRPr="00AF7A56">
        <w:rPr>
          <w:i/>
        </w:rPr>
        <w:t>cas_chem</w:t>
      </w:r>
      <w:proofErr w:type="spellEnd"/>
      <w:r w:rsidRPr="00AF7A56">
        <w:rPr>
          <w:i/>
        </w:rPr>
        <w:t xml:space="preserve"> (internal)</w:t>
      </w:r>
    </w:p>
    <w:p w14:paraId="0EC3E854" w14:textId="77777777" w:rsidR="00DD4D56" w:rsidRDefault="00DD4D56" w:rsidP="00DD4D56">
      <w:r>
        <w:t xml:space="preserve">An indicator variable for primary plan holder in Chemistry with a reference category of non-plan holder.  </w:t>
      </w:r>
    </w:p>
    <w:p w14:paraId="0CB49897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cas_crim</w:t>
      </w:r>
      <w:proofErr w:type="spellEnd"/>
      <w:r w:rsidRPr="00591C9F">
        <w:rPr>
          <w:i/>
        </w:rPr>
        <w:t xml:space="preserve"> (internal)</w:t>
      </w:r>
    </w:p>
    <w:p w14:paraId="074E8392" w14:textId="77777777" w:rsidR="00DD4D56" w:rsidRDefault="00DD4D56" w:rsidP="00DD4D56">
      <w:r>
        <w:t xml:space="preserve">An indicator variable for primary plan holder in </w:t>
      </w:r>
      <w:r w:rsidRPr="00591C9F">
        <w:t>Criminal Justice</w:t>
      </w:r>
      <w:r>
        <w:t xml:space="preserve"> with a reference category of non-plan holder.</w:t>
      </w:r>
    </w:p>
    <w:p w14:paraId="6A1A19AE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cas_math</w:t>
      </w:r>
      <w:proofErr w:type="spellEnd"/>
      <w:r w:rsidRPr="00591C9F">
        <w:rPr>
          <w:i/>
        </w:rPr>
        <w:t xml:space="preserve"> (internal)</w:t>
      </w:r>
    </w:p>
    <w:p w14:paraId="06581769" w14:textId="77777777" w:rsidR="00DD4D56" w:rsidRDefault="00DD4D56" w:rsidP="00DD4D56">
      <w:r>
        <w:t xml:space="preserve">An indicator variable for primary plan holder in </w:t>
      </w:r>
      <w:r w:rsidRPr="00591C9F">
        <w:t>Mathematics and Statistics</w:t>
      </w:r>
      <w:r>
        <w:t xml:space="preserve"> with a reference category of non-plan holder.</w:t>
      </w:r>
    </w:p>
    <w:p w14:paraId="7C86B989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cas_psyc</w:t>
      </w:r>
      <w:proofErr w:type="spellEnd"/>
      <w:r w:rsidRPr="00591C9F">
        <w:rPr>
          <w:i/>
        </w:rPr>
        <w:t xml:space="preserve"> (internal)</w:t>
      </w:r>
    </w:p>
    <w:p w14:paraId="5788A4EB" w14:textId="77777777" w:rsidR="00DD4D56" w:rsidRDefault="00DD4D56" w:rsidP="00DD4D56">
      <w:r>
        <w:t xml:space="preserve">An indicator variable for primary plan holder in </w:t>
      </w:r>
      <w:r w:rsidRPr="00591C9F">
        <w:t>Psychology</w:t>
      </w:r>
      <w:r>
        <w:t xml:space="preserve"> with a reference category of non-plan holder.</w:t>
      </w:r>
    </w:p>
    <w:p w14:paraId="302BB7CB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cas_biol</w:t>
      </w:r>
      <w:proofErr w:type="spellEnd"/>
      <w:r w:rsidRPr="00602538">
        <w:rPr>
          <w:i/>
        </w:rPr>
        <w:t xml:space="preserve"> (internal)</w:t>
      </w:r>
    </w:p>
    <w:p w14:paraId="1836BA38" w14:textId="77777777" w:rsidR="00DD4D56" w:rsidRDefault="00DD4D56" w:rsidP="00DD4D56">
      <w:r>
        <w:t xml:space="preserve">An indicator variable for primary plan holder in </w:t>
      </w:r>
      <w:r w:rsidRPr="00591C9F">
        <w:t>School Of Biological Sciences</w:t>
      </w:r>
      <w:r>
        <w:t xml:space="preserve"> with a reference category of non-plan holder.</w:t>
      </w:r>
    </w:p>
    <w:p w14:paraId="0692B729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cas_engl</w:t>
      </w:r>
      <w:proofErr w:type="spellEnd"/>
      <w:r w:rsidRPr="00602538">
        <w:rPr>
          <w:i/>
        </w:rPr>
        <w:t xml:space="preserve"> (internal)</w:t>
      </w:r>
    </w:p>
    <w:p w14:paraId="458957F1" w14:textId="77777777" w:rsidR="00DD4D56" w:rsidRDefault="00DD4D56" w:rsidP="00DD4D56">
      <w:r>
        <w:t>An indicator variable for primary plan holder in English with a reference category of non-plan holder.</w:t>
      </w:r>
    </w:p>
    <w:p w14:paraId="40FF8D4C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cas_phys</w:t>
      </w:r>
      <w:proofErr w:type="spellEnd"/>
      <w:r w:rsidRPr="00602538">
        <w:rPr>
          <w:i/>
        </w:rPr>
        <w:t xml:space="preserve"> (internal)</w:t>
      </w:r>
    </w:p>
    <w:p w14:paraId="6F7A30D2" w14:textId="45F58925" w:rsidR="00DD4D56" w:rsidRDefault="00DD4D56" w:rsidP="00DD4D56">
      <w:r>
        <w:t xml:space="preserve">An indicator variable for primary plan holder in </w:t>
      </w:r>
      <w:r w:rsidRPr="00602538">
        <w:t>Physics and Astronomy</w:t>
      </w:r>
      <w:r>
        <w:t xml:space="preserve"> with a reference category of non-plan holder.</w:t>
      </w:r>
    </w:p>
    <w:p w14:paraId="3DAFE9C4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</w:t>
      </w:r>
      <w:proofErr w:type="spellEnd"/>
      <w:r w:rsidRPr="00602538">
        <w:rPr>
          <w:i/>
        </w:rPr>
        <w:t xml:space="preserve"> (internal)</w:t>
      </w:r>
    </w:p>
    <w:p w14:paraId="20A7D940" w14:textId="77777777" w:rsidR="00DD4D56" w:rsidRDefault="00DD4D56" w:rsidP="00DD4D56">
      <w:r>
        <w:t>An indicator variable for primary plan holder in CAS other than those listed above with a reference category of non-plan holder.</w:t>
      </w:r>
    </w:p>
    <w:p w14:paraId="17E2901F" w14:textId="77777777" w:rsidR="00DD4D56" w:rsidRDefault="00DD4D56" w:rsidP="00DD4D56">
      <w:pPr>
        <w:rPr>
          <w:i/>
        </w:rPr>
      </w:pPr>
    </w:p>
    <w:p w14:paraId="624625F1" w14:textId="779B3238" w:rsidR="00DD4D56" w:rsidRPr="003F0A53" w:rsidRDefault="00DD4D56" w:rsidP="00DD4D56">
      <w:pPr>
        <w:rPr>
          <w:i/>
        </w:rPr>
      </w:pPr>
      <w:r w:rsidRPr="003F0A53">
        <w:rPr>
          <w:i/>
        </w:rPr>
        <w:lastRenderedPageBreak/>
        <w:t>comm (internal)</w:t>
      </w:r>
    </w:p>
    <w:p w14:paraId="382A8982" w14:textId="77777777" w:rsidR="00DD4D56" w:rsidRDefault="00DD4D56" w:rsidP="00DD4D56">
      <w:r>
        <w:t>An indicator variable for primary plan holder in College of Communication (including Strategic Communication and Journalism) with a reference category of non-plan holder.</w:t>
      </w:r>
    </w:p>
    <w:p w14:paraId="52EA1CD6" w14:textId="77777777" w:rsidR="00DD4D56" w:rsidRPr="003C3A5B" w:rsidRDefault="00DD4D56" w:rsidP="00DD4D56">
      <w:pPr>
        <w:rPr>
          <w:i/>
        </w:rPr>
      </w:pPr>
      <w:r w:rsidRPr="003C3A5B">
        <w:rPr>
          <w:i/>
        </w:rPr>
        <w:t>education (internal)</w:t>
      </w:r>
    </w:p>
    <w:p w14:paraId="7A612B0F" w14:textId="77777777" w:rsidR="00DD4D56" w:rsidRDefault="00DD4D56" w:rsidP="00DD4D56">
      <w:r>
        <w:t>An indicator variable for primary plan holder in College of Education (including Teaching and Learning and Kinesiology) with a reference category of non-plan holder.</w:t>
      </w:r>
    </w:p>
    <w:p w14:paraId="7CBDDF2C" w14:textId="77777777" w:rsidR="00DD4D56" w:rsidRPr="001F10EE" w:rsidRDefault="00DD4D56" w:rsidP="00DD4D56">
      <w:pPr>
        <w:rPr>
          <w:i/>
        </w:rPr>
      </w:pPr>
      <w:r w:rsidRPr="001F10EE">
        <w:rPr>
          <w:i/>
        </w:rPr>
        <w:t>medicine (internal)</w:t>
      </w:r>
    </w:p>
    <w:p w14:paraId="1B279D96" w14:textId="77777777" w:rsidR="00DD4D56" w:rsidRDefault="00DD4D56" w:rsidP="00DD4D56">
      <w:r>
        <w:t>An indicator variable for primary plan holder in College of Medical Sciences (including Speech and Hearing Sciences and Health Policy and Administration) or ESFCOM (including College of Medicine and Nutrition) with a reference category of non-plan holder.</w:t>
      </w:r>
    </w:p>
    <w:p w14:paraId="59D54E0B" w14:textId="77777777" w:rsidR="00DD4D56" w:rsidRPr="0073545F" w:rsidRDefault="00DD4D56" w:rsidP="00DD4D56">
      <w:pPr>
        <w:rPr>
          <w:i/>
        </w:rPr>
      </w:pPr>
      <w:r w:rsidRPr="0073545F">
        <w:rPr>
          <w:i/>
        </w:rPr>
        <w:t>nursing (internal)</w:t>
      </w:r>
    </w:p>
    <w:p w14:paraId="671FF1EE" w14:textId="77777777" w:rsidR="00DD4D56" w:rsidRDefault="00DD4D56" w:rsidP="00DD4D56">
      <w:r>
        <w:t xml:space="preserve">An indicator variable for primary plan holder in </w:t>
      </w:r>
      <w:r w:rsidRPr="0073545F">
        <w:t>College of Nursing</w:t>
      </w:r>
      <w:r>
        <w:t xml:space="preserve"> with a reference category of non-plan holder.</w:t>
      </w:r>
    </w:p>
    <w:p w14:paraId="4F9133EB" w14:textId="77777777" w:rsidR="00DD4D56" w:rsidRPr="0073545F" w:rsidRDefault="00DD4D56" w:rsidP="00DD4D56">
      <w:pPr>
        <w:rPr>
          <w:i/>
        </w:rPr>
      </w:pPr>
      <w:r w:rsidRPr="0073545F">
        <w:rPr>
          <w:i/>
        </w:rPr>
        <w:t>pharmacy (internal)</w:t>
      </w:r>
    </w:p>
    <w:p w14:paraId="10818CE6" w14:textId="77777777" w:rsidR="00DD4D56" w:rsidRDefault="00DD4D56" w:rsidP="00DD4D56">
      <w:r>
        <w:t xml:space="preserve">An indicator variable for primary plan holder in </w:t>
      </w:r>
      <w:r w:rsidRPr="006352A7">
        <w:t xml:space="preserve">College of </w:t>
      </w:r>
      <w:r>
        <w:t>Pharmacy and Pharmaceutical Sciences with a reference category of non-plan holder.</w:t>
      </w:r>
    </w:p>
    <w:p w14:paraId="550714D1" w14:textId="77777777" w:rsidR="00DD4D56" w:rsidRPr="00A26FC6" w:rsidRDefault="00DD4D56" w:rsidP="00DD4D56">
      <w:pPr>
        <w:rPr>
          <w:i/>
        </w:rPr>
      </w:pPr>
      <w:proofErr w:type="spellStart"/>
      <w:r w:rsidRPr="00A26FC6">
        <w:rPr>
          <w:i/>
        </w:rPr>
        <w:t>vcea_bioe</w:t>
      </w:r>
      <w:proofErr w:type="spellEnd"/>
      <w:r w:rsidRPr="00A26FC6">
        <w:rPr>
          <w:i/>
        </w:rPr>
        <w:t xml:space="preserve"> (internal)</w:t>
      </w:r>
    </w:p>
    <w:p w14:paraId="0BB677C9" w14:textId="77777777" w:rsidR="00DD4D56" w:rsidRDefault="00DD4D56" w:rsidP="00DD4D56">
      <w:r>
        <w:t>An indicator variable for primary plan holder in Chemical Engineering and Bioengineering with a reference category of non-plan holder.</w:t>
      </w:r>
    </w:p>
    <w:p w14:paraId="721E1609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vcea_cive</w:t>
      </w:r>
      <w:proofErr w:type="spellEnd"/>
      <w:r w:rsidRPr="00AA34D2">
        <w:rPr>
          <w:i/>
        </w:rPr>
        <w:t xml:space="preserve"> (internal)</w:t>
      </w:r>
    </w:p>
    <w:p w14:paraId="07404412" w14:textId="77777777" w:rsidR="00DD4D56" w:rsidRDefault="00DD4D56" w:rsidP="00DD4D56">
      <w:r>
        <w:t xml:space="preserve">An indicator variable for primary plan holder in </w:t>
      </w:r>
      <w:r w:rsidRPr="00AA34D2">
        <w:t>Civil</w:t>
      </w:r>
      <w:r>
        <w:t xml:space="preserve"> and Environmental Engineering with a reference category of non-plan holder.</w:t>
      </w:r>
    </w:p>
    <w:p w14:paraId="47801020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vcea_desn</w:t>
      </w:r>
      <w:proofErr w:type="spellEnd"/>
      <w:r w:rsidRPr="00AA34D2">
        <w:rPr>
          <w:i/>
        </w:rPr>
        <w:t xml:space="preserve"> (internal)</w:t>
      </w:r>
    </w:p>
    <w:p w14:paraId="16F76E33" w14:textId="77777777" w:rsidR="00DD4D56" w:rsidRDefault="00DD4D56" w:rsidP="00DD4D56">
      <w:r>
        <w:t>An indicator variable for primary plan holder in School of Design and Construction with a reference category of non-plan holder.</w:t>
      </w:r>
    </w:p>
    <w:p w14:paraId="2D4B5473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vcea_eecs</w:t>
      </w:r>
      <w:proofErr w:type="spellEnd"/>
      <w:r w:rsidRPr="00AA34D2">
        <w:rPr>
          <w:i/>
        </w:rPr>
        <w:t xml:space="preserve"> (internal)</w:t>
      </w:r>
    </w:p>
    <w:p w14:paraId="3DF382EA" w14:textId="77777777" w:rsidR="00DD4D56" w:rsidRDefault="00DD4D56" w:rsidP="00DD4D56">
      <w:r>
        <w:t>An indicator variable for primary plan holder in EECS with a reference category of non-plan holder.</w:t>
      </w:r>
    </w:p>
    <w:p w14:paraId="41F21B42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vcea_mech</w:t>
      </w:r>
      <w:proofErr w:type="spellEnd"/>
      <w:r w:rsidRPr="0089634A">
        <w:rPr>
          <w:i/>
        </w:rPr>
        <w:t xml:space="preserve"> (internal)</w:t>
      </w:r>
    </w:p>
    <w:p w14:paraId="000C7B10" w14:textId="77777777" w:rsidR="00DD4D56" w:rsidRDefault="00DD4D56" w:rsidP="00DD4D56">
      <w:r>
        <w:t xml:space="preserve">An indicator variable for primary plan holder in </w:t>
      </w:r>
      <w:r w:rsidRPr="0089634A">
        <w:t>School of Mechanical and Materials Engineering</w:t>
      </w:r>
      <w:r>
        <w:t xml:space="preserve"> with a reference category of non-plan holder.</w:t>
      </w:r>
    </w:p>
    <w:p w14:paraId="79D9BE3F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</w:t>
      </w:r>
      <w:proofErr w:type="spellEnd"/>
      <w:r w:rsidRPr="0089634A">
        <w:rPr>
          <w:i/>
        </w:rPr>
        <w:t xml:space="preserve"> (internal)</w:t>
      </w:r>
    </w:p>
    <w:p w14:paraId="316461E3" w14:textId="77777777" w:rsidR="00DD4D56" w:rsidRDefault="00DD4D56" w:rsidP="00DD4D56">
      <w:r>
        <w:t>An indicator variable for primary plan holder in VCEA other than those listed above with a reference category of non-plan holder.</w:t>
      </w:r>
    </w:p>
    <w:p w14:paraId="730C1169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lastRenderedPageBreak/>
        <w:t>vet_med</w:t>
      </w:r>
      <w:proofErr w:type="spellEnd"/>
      <w:r w:rsidRPr="0089634A">
        <w:rPr>
          <w:i/>
        </w:rPr>
        <w:t xml:space="preserve"> (internal)</w:t>
      </w:r>
    </w:p>
    <w:p w14:paraId="3104E214" w14:textId="77777777" w:rsidR="00DD4D56" w:rsidRDefault="00DD4D56" w:rsidP="00DD4D56">
      <w:r>
        <w:t xml:space="preserve">An indicator variable for primary plan holder in </w:t>
      </w:r>
      <w:r w:rsidRPr="0089634A">
        <w:t>College of Veterinary Medicine</w:t>
      </w:r>
      <w:r>
        <w:t xml:space="preserve"> (including </w:t>
      </w:r>
      <w:r w:rsidRPr="0089634A">
        <w:t>Neuroscience</w:t>
      </w:r>
      <w:r>
        <w:t xml:space="preserve"> and </w:t>
      </w:r>
      <w:r w:rsidRPr="0089634A">
        <w:t>Molecular Biosciences</w:t>
      </w:r>
      <w:r>
        <w:t>) with a reference category of non-plan holder.</w:t>
      </w:r>
    </w:p>
    <w:p w14:paraId="2361F9B3" w14:textId="77777777" w:rsidR="00DD4D56" w:rsidRDefault="00DD4D56" w:rsidP="00DD4D56"/>
    <w:p w14:paraId="00B5191B" w14:textId="77777777" w:rsidR="00DD4D56" w:rsidRPr="00091BD4" w:rsidRDefault="00DD4D56" w:rsidP="00DD4D56">
      <w:r w:rsidRPr="00091BD4">
        <w:t xml:space="preserve">Footnotes: </w:t>
      </w:r>
    </w:p>
    <w:p w14:paraId="3E90C274" w14:textId="77777777" w:rsidR="00DD4D56" w:rsidRPr="00091BD4" w:rsidRDefault="00DD4D56" w:rsidP="00DD4D56">
      <w:r w:rsidRPr="00091BD4">
        <w:t xml:space="preserve">* The outcome </w:t>
      </w:r>
      <w:r>
        <w:t xml:space="preserve">variable is </w:t>
      </w:r>
      <w:r w:rsidRPr="00091BD4">
        <w:t xml:space="preserve">used for model training based on prior years’ data. For the current year, the trained model tries to predict </w:t>
      </w:r>
      <w:r>
        <w:t>student</w:t>
      </w:r>
      <w:r w:rsidRPr="00091BD4">
        <w:t xml:space="preserve"> enrollment outcome</w:t>
      </w:r>
      <w:r>
        <w:t>s</w:t>
      </w:r>
      <w:r w:rsidRPr="00091BD4">
        <w:t xml:space="preserve"> next year.</w:t>
      </w:r>
    </w:p>
    <w:p w14:paraId="5280A4F9" w14:textId="77777777" w:rsidR="00DD4D56" w:rsidRDefault="00DD4D56" w:rsidP="00DD4D56">
      <w:r w:rsidRPr="00091BD4">
        <w:t>** These features have been adjusted for inflation in constant 2018 US dollars.</w:t>
      </w:r>
    </w:p>
    <w:p w14:paraId="2C45B8AE" w14:textId="77777777" w:rsidR="00DD4D56" w:rsidRDefault="00DD4D56" w:rsidP="00DD4D56">
      <w:r>
        <w:t>*** Excluded from this list are primary plan holders in Office of the Provost as including them yields a linear combination of variables.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156D9F62" w14:textId="29882FBF" w:rsidR="00D51172" w:rsidRDefault="00D51172" w:rsidP="004F432E"/>
    <w:p w14:paraId="689C6E41" w14:textId="543E9279" w:rsidR="00D51172" w:rsidRDefault="00D51172" w:rsidP="004F432E"/>
    <w:p w14:paraId="7F860425" w14:textId="5359F7A0" w:rsidR="00D51172" w:rsidRDefault="00D51172" w:rsidP="004F432E"/>
    <w:p w14:paraId="3D7D9C74" w14:textId="16E7D420" w:rsidR="00D51172" w:rsidRDefault="00D51172" w:rsidP="004F432E"/>
    <w:p w14:paraId="56C19C20" w14:textId="5C8F62EC" w:rsidR="00D51172" w:rsidRDefault="00D51172" w:rsidP="004F432E"/>
    <w:p w14:paraId="03D2D5C6" w14:textId="4A5FBED5" w:rsidR="00D51172" w:rsidRDefault="00D51172" w:rsidP="004F432E"/>
    <w:p w14:paraId="5628CA2B" w14:textId="75E0B6D3" w:rsidR="00D51172" w:rsidRDefault="00D51172" w:rsidP="004F432E"/>
    <w:p w14:paraId="48D2A960" w14:textId="54B890EE" w:rsidR="00D51172" w:rsidRDefault="00D51172" w:rsidP="004F432E"/>
    <w:p w14:paraId="479CD81F" w14:textId="671BF90C" w:rsidR="00D51172" w:rsidRDefault="00D51172" w:rsidP="004F432E"/>
    <w:p w14:paraId="372E2EC1" w14:textId="01C48373" w:rsidR="00D51172" w:rsidRDefault="00D51172" w:rsidP="004F432E"/>
    <w:p w14:paraId="6AF38461" w14:textId="1B2A6086" w:rsidR="00D51172" w:rsidRDefault="00D51172" w:rsidP="004F432E"/>
    <w:p w14:paraId="43C5B2A5" w14:textId="1263461A" w:rsidR="00D51172" w:rsidRDefault="00D51172" w:rsidP="004F432E"/>
    <w:p w14:paraId="058504FA" w14:textId="5B1CA0C4" w:rsidR="00D51172" w:rsidRDefault="00D51172" w:rsidP="004F432E"/>
    <w:p w14:paraId="74507703" w14:textId="4DF298F0" w:rsidR="00D51172" w:rsidRDefault="00D51172" w:rsidP="004F432E"/>
    <w:p w14:paraId="6EE209EC" w14:textId="70A3A1A9" w:rsidR="00D51172" w:rsidRDefault="00D51172" w:rsidP="004F432E"/>
    <w:p w14:paraId="24B83B99" w14:textId="77777777" w:rsidR="00DD4D56" w:rsidRDefault="00DD4D56" w:rsidP="00E30BF7">
      <w:pPr>
        <w:jc w:val="both"/>
      </w:pPr>
    </w:p>
    <w:p w14:paraId="11DD9192" w14:textId="1718927B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9152D40" w:rsidR="00EA65A7" w:rsidRDefault="00B53540" w:rsidP="00A13A29">
      <w:pPr>
        <w:rPr>
          <w:bCs/>
        </w:rPr>
      </w:pPr>
      <w:r>
        <w:rPr>
          <w:bCs/>
        </w:rPr>
        <w:t xml:space="preserve">All institutional characteristics of students are drawn from internal snapshot data. </w:t>
      </w:r>
      <w:r w:rsidR="00EA65A7">
        <w:rPr>
          <w:bCs/>
        </w:rPr>
        <w:t>These data adhere to the practices and procedures</w:t>
      </w:r>
      <w:r w:rsidR="00A13A29">
        <w:rPr>
          <w:bCs/>
        </w:rPr>
        <w:t xml:space="preserve"> adopted by</w:t>
      </w:r>
      <w:r w:rsidR="00EA65A7"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68A6A2D8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>, as well as the annual average consumer price index</w:t>
      </w:r>
      <w:r w:rsidR="0049256F">
        <w:t xml:space="preserve"> (CPI)</w:t>
      </w:r>
      <w:r w:rsidR="002034F4" w:rsidRPr="007C0C36">
        <w:t xml:space="preserve">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11A4DFF2" w:rsidR="008544FB" w:rsidRPr="008544FB" w:rsidRDefault="00620DF8" w:rsidP="009C4270">
      <w:r>
        <w:t>The modeling strategy used is that of an ensemble model, which can employ any number of machine learning algorithms commonly used for binary classification including</w:t>
      </w:r>
      <w:r w:rsidR="00C4445E">
        <w:t xml:space="preserve"> logistic regression, support vector classification, </w:t>
      </w:r>
      <w:r>
        <w:t xml:space="preserve">stochastic gradient descent, </w:t>
      </w:r>
      <w:r w:rsidR="00C4445E">
        <w:t>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>hyperparameter promotes model underfitting,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E26651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E26651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17214BD7" w:rsidR="00B027BB" w:rsidRDefault="00B027BB" w:rsidP="009C4270">
      <w:pPr>
        <w:rPr>
          <w:i/>
        </w:rPr>
      </w:pPr>
    </w:p>
    <w:p w14:paraId="584F427F" w14:textId="77777777" w:rsidR="00620DF8" w:rsidRPr="00733E3D" w:rsidRDefault="00620DF8" w:rsidP="00620DF8">
      <w:pPr>
        <w:rPr>
          <w:i/>
        </w:rPr>
      </w:pPr>
      <w:r w:rsidRPr="00733E3D">
        <w:rPr>
          <w:i/>
        </w:rPr>
        <w:t>Stochastic Gradient Descent</w:t>
      </w:r>
    </w:p>
    <w:p w14:paraId="73B6F274" w14:textId="55B956F3" w:rsidR="00620DF8" w:rsidRDefault="00620DF8" w:rsidP="00620DF8">
      <w:r>
        <w:t xml:space="preserve">Stochastic gradient descent with a modified Huber loss function. This classification model is a generalization of other stochastic gradient descent algorithms. Used with a modified Huber loss function, it is equivalent to a quadratically-smoothed support vector machine. Support vector machines </w:t>
      </w:r>
      <w:r w:rsidR="005E2192">
        <w:t>with</w:t>
      </w:r>
      <w:r w:rsidR="006A5A95">
        <w:t xml:space="preserve"> non-linear kernel</w:t>
      </w:r>
      <w:r w:rsidR="005E2192">
        <w:t>s</w:t>
      </w:r>
      <w:r w:rsidR="006A5A95">
        <w:t xml:space="preserve"> </w:t>
      </w:r>
      <w:r>
        <w:t>represent the data in an input space the dimension of the number of features</w:t>
      </w:r>
      <w:r w:rsidR="006A5A95">
        <w:t xml:space="preserve"> and map the data to a higher-dimensional feature space</w:t>
      </w:r>
      <w:r>
        <w:t xml:space="preserve">. In the case of a binary classifier, the goal is to split the multi-dimensional </w:t>
      </w:r>
      <w:r w:rsidR="006A5A95">
        <w:t>feature</w:t>
      </w:r>
      <w:r>
        <w:t xml:space="preserve"> space into two partitions that divide the classes using a hyperplane. A hyperplane being an affine subspace that is of one dimension less than the</w:t>
      </w:r>
      <w:r w:rsidR="00C40EA9">
        <w:t xml:space="preserve"> feature</w:t>
      </w:r>
      <w:r>
        <w:t xml:space="preserve"> space.</w:t>
      </w:r>
      <w:r w:rsidR="006A5A95">
        <w:t xml:space="preserve"> </w:t>
      </w:r>
    </w:p>
    <w:p w14:paraId="4C8030B2" w14:textId="77777777" w:rsidR="00620DF8" w:rsidRDefault="00E26651" w:rsidP="00620DF8">
      <w:hyperlink r:id="rId9" w:history="1">
        <w:r w:rsidR="00620DF8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73672DA7" w14:textId="77777777" w:rsidR="00620DF8" w:rsidRDefault="00620DF8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81796E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</w:t>
      </w:r>
      <w:r w:rsidR="00526460">
        <w:t>-</w:t>
      </w:r>
      <w:r w:rsidR="00245747">
        <w:t>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</w:t>
      </w:r>
      <w:r w:rsidR="00526460">
        <w:t>-</w:t>
      </w:r>
      <w:r w:rsidR="00274F14">
        <w:t>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6845ED44" w14:textId="591C940E" w:rsidR="00B027BB" w:rsidRPr="00620DF8" w:rsidRDefault="00E26651" w:rsidP="009C4270">
      <w:hyperlink r:id="rId10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E26651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E26651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1F45F481" w14:textId="59C1CBE2" w:rsidR="009172E4" w:rsidRDefault="009172E4" w:rsidP="00416EEC"/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6972335B" w:rsidR="00D65CA3" w:rsidRDefault="007D49FA" w:rsidP="00416EEC"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183D24">
        <w:t>un</w:t>
      </w:r>
      <w:r w:rsidR="00335555">
        <w:t>-</w:t>
      </w:r>
      <w:r w:rsidR="00183D24">
        <w:t xml:space="preserve">penalized </w:t>
      </w:r>
      <w:r w:rsidR="00D50D2C">
        <w:t xml:space="preserve">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</w:t>
      </w:r>
      <w:r w:rsidR="004B65D0">
        <w:t>ing the</w:t>
      </w:r>
      <w:r w:rsidR="00914E3E">
        <w:t xml:space="preserve"> log odds yield</w:t>
      </w:r>
      <w:r w:rsidR="004B65D0">
        <w:t>s</w:t>
      </w:r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2D9D3C8A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</w:t>
            </w:r>
            <w:r w:rsidR="00EE6E30">
              <w:rPr>
                <w:b/>
                <w:i/>
              </w:rPr>
              <w:t xml:space="preserve">midterm </w:t>
            </w:r>
            <w:r w:rsidR="007A4FF5">
              <w:rPr>
                <w:b/>
                <w:i/>
              </w:rPr>
              <w:t>l</w:t>
            </w:r>
            <w:r w:rsidR="00EE6E30">
              <w:rPr>
                <w:b/>
                <w:i/>
              </w:rPr>
              <w:t>ogistic regression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E26651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370pt">
                  <v:imagedata r:id="rId13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2F2F7933" w:rsidR="009172E4" w:rsidRPr="00671F2A" w:rsidRDefault="009172E4" w:rsidP="00EE6E30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</w:t>
            </w:r>
            <w:r w:rsidR="00EE6E30">
              <w:rPr>
                <w:b/>
                <w:i/>
              </w:rPr>
              <w:t>Pullman freshmen midterm logistic regression</w:t>
            </w:r>
            <w:r w:rsidR="00EE6E30" w:rsidRPr="00671F2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E26651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26" type="#_x0000_t75" style="width:450pt;height:400pt">
                  <v:imagedata r:id="rId14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00B27E69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30C0E707" w:rsidR="00DB1C22" w:rsidRDefault="00BF13FD" w:rsidP="001D58FA">
      <w:r>
        <w:lastRenderedPageBreak/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.8869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0124FA">
        <w:t>is .8646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526431F4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="00DB74F4">
              <w:rPr>
                <w:b/>
                <w:i/>
              </w:rPr>
              <w:t xml:space="preserve"> curve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C4D404" w:rsidR="0027210C" w:rsidRDefault="00E26651" w:rsidP="0027210C">
            <w:pPr>
              <w:jc w:val="center"/>
            </w:pPr>
            <w:r>
              <w:pict w14:anchorId="5E066BE7">
                <v:shape id="_x0000_i1027" type="#_x0000_t75" style="width:386.5pt;height:262pt">
                  <v:imagedata r:id="rId15" o:title="pullm_frsh_midterm_roc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243E301E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</w:t>
      </w:r>
      <w:r w:rsidR="00FF4C76">
        <w:t xml:space="preserve"> for the midterm snapshot</w:t>
      </w:r>
      <w:r>
        <w:t xml:space="preserve">. Further performance improvements </w:t>
      </w:r>
      <w:r w:rsidR="0078186B">
        <w:t xml:space="preserve">could be </w:t>
      </w:r>
      <w:r w:rsidR="00582C03">
        <w:t>gained</w:t>
      </w:r>
      <w:r w:rsidR="00FF4C76">
        <w:t xml:space="preserve"> by developing new variables or </w:t>
      </w:r>
      <w:r w:rsidR="0078186B">
        <w:t>tuning</w:t>
      </w:r>
      <w:r w:rsidR="00FF4C76">
        <w:t xml:space="preserve"> the models based on their observed outcomes next fall</w:t>
      </w:r>
      <w:r>
        <w:t>.</w:t>
      </w:r>
    </w:p>
    <w:p w14:paraId="7DD3A906" w14:textId="77777777" w:rsidR="00FF4C76" w:rsidRDefault="00FF4C76" w:rsidP="001D58FA"/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757F6"/>
    <w:rsid w:val="001826DE"/>
    <w:rsid w:val="00183D24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550D"/>
    <w:rsid w:val="002D75AF"/>
    <w:rsid w:val="002E0B10"/>
    <w:rsid w:val="002E16DD"/>
    <w:rsid w:val="002E6679"/>
    <w:rsid w:val="0030707A"/>
    <w:rsid w:val="00335555"/>
    <w:rsid w:val="00345B9C"/>
    <w:rsid w:val="003646C9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256F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26460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2192"/>
    <w:rsid w:val="005E5CB4"/>
    <w:rsid w:val="00601D9E"/>
    <w:rsid w:val="00604B31"/>
    <w:rsid w:val="00614BA9"/>
    <w:rsid w:val="00620DF8"/>
    <w:rsid w:val="006302FA"/>
    <w:rsid w:val="00631667"/>
    <w:rsid w:val="00652B35"/>
    <w:rsid w:val="006530AF"/>
    <w:rsid w:val="00653572"/>
    <w:rsid w:val="006567A5"/>
    <w:rsid w:val="00662E90"/>
    <w:rsid w:val="00671F2A"/>
    <w:rsid w:val="00683CA6"/>
    <w:rsid w:val="006A4D8D"/>
    <w:rsid w:val="006A5A95"/>
    <w:rsid w:val="00710A42"/>
    <w:rsid w:val="007130D5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3540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0EA9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51172"/>
    <w:rsid w:val="00D617BC"/>
    <w:rsid w:val="00D65CA3"/>
    <w:rsid w:val="00DA0090"/>
    <w:rsid w:val="00DB1C22"/>
    <w:rsid w:val="00DB74F4"/>
    <w:rsid w:val="00DD4D56"/>
    <w:rsid w:val="00DD67F1"/>
    <w:rsid w:val="00DE0AC1"/>
    <w:rsid w:val="00E01428"/>
    <w:rsid w:val="00E0393F"/>
    <w:rsid w:val="00E04B4E"/>
    <w:rsid w:val="00E22F26"/>
    <w:rsid w:val="00E26651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2FF9"/>
    <w:rsid w:val="00F12383"/>
    <w:rsid w:val="00F12DC0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9580D"/>
    <w:rsid w:val="00FC4528"/>
    <w:rsid w:val="00FC7639"/>
    <w:rsid w:val="00FD4D1B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linear_model.SGD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15</Pages>
  <Words>3932</Words>
  <Characters>22414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280</cp:revision>
  <dcterms:created xsi:type="dcterms:W3CDTF">2020-09-15T16:50:00Z</dcterms:created>
  <dcterms:modified xsi:type="dcterms:W3CDTF">2022-08-22T20:32:00Z</dcterms:modified>
</cp:coreProperties>
</file>