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332FB51C" w:rsidR="00416EEC" w:rsidRPr="007C0C36" w:rsidRDefault="00AA4879" w:rsidP="00471DC5">
      <w:pPr>
        <w:jc w:val="center"/>
        <w:rPr>
          <w:b/>
        </w:rPr>
      </w:pPr>
      <w:r>
        <w:rPr>
          <w:b/>
        </w:rPr>
        <w:t xml:space="preserve">Pre-Census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1F888C91" w:rsidR="004A1C31" w:rsidRDefault="00A566D1" w:rsidP="00A566D1">
      <w:r w:rsidRPr="00A566D1">
        <w:t xml:space="preserve">This document provides information about </w:t>
      </w:r>
      <w:r>
        <w:t xml:space="preserve">a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661F3F4A" w:rsidR="00A566D1" w:rsidRPr="00A566D1" w:rsidRDefault="00A566D1" w:rsidP="00A566D1">
      <w:r w:rsidRPr="00A566D1">
        <w:t xml:space="preserve">The </w:t>
      </w:r>
      <w:r w:rsidR="00BF242B">
        <w:t xml:space="preserve">student risk model makes use of student </w:t>
      </w:r>
      <w:r w:rsidRPr="00A566D1">
        <w:t xml:space="preserve">records </w:t>
      </w:r>
      <w:r w:rsidR="00BF242B">
        <w:t xml:space="preserve">and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>accomplished by first training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using historical data from prior year cohorts and then using that trained model to predict the outcomes for the current year cohort.</w:t>
      </w:r>
    </w:p>
    <w:p w14:paraId="32CABFD8" w14:textId="46D9E1A8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</w:t>
      </w:r>
      <w:r w:rsidR="00273755">
        <w:t xml:space="preserve">in </w:t>
      </w:r>
      <w:r w:rsidRPr="00A566D1">
        <w:t xml:space="preserve">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that same estimate</w:t>
      </w:r>
      <w:r w:rsidR="003A7DC1">
        <w:t>d risk of withdrawal</w:t>
      </w:r>
      <w:r w:rsidR="000C29F0">
        <w:t xml:space="preserve"> will </w:t>
      </w:r>
      <w:r w:rsidR="007A73B2">
        <w:t xml:space="preserve">not be retained </w:t>
      </w:r>
      <w:r w:rsidR="00273755">
        <w:t xml:space="preserve">in </w:t>
      </w:r>
      <w:r w:rsidR="007A73B2">
        <w:t>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77777777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084071C4" w14:textId="77777777" w:rsidR="00E30BF7" w:rsidRPr="00156345" w:rsidRDefault="00E30BF7" w:rsidP="0002517E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 w:rsidR="00C7291F">
        <w:rPr>
          <w:i/>
        </w:rPr>
        <w:t xml:space="preserve"> (internal)</w:t>
      </w:r>
    </w:p>
    <w:p w14:paraId="2B593051" w14:textId="77777777" w:rsidR="00156345" w:rsidRPr="00156345" w:rsidRDefault="00156345" w:rsidP="0002517E">
      <w:r>
        <w:t>An indicator variable for first generation status</w:t>
      </w:r>
      <w:r w:rsidR="0002517E">
        <w:t xml:space="preserve"> with a reference category of non-first generation status</w:t>
      </w:r>
      <w:r>
        <w:t>.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2D8D4485" w14:textId="2418BA36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1B1DE67F" w14:textId="77777777" w:rsidR="00CA41F0" w:rsidRPr="00CA41F0" w:rsidRDefault="00CA41F0" w:rsidP="0002517E"/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lastRenderedPageBreak/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7D74700" w14:textId="77777777" w:rsidR="00540C6D" w:rsidRPr="00573F91" w:rsidRDefault="00E335AA" w:rsidP="0002517E">
      <w:r>
        <w:t>A continuous variable for the percentage of residents of two or more races in the postal code where the student last attended school.</w:t>
      </w:r>
    </w:p>
    <w:p w14:paraId="28CBA657" w14:textId="77777777" w:rsidR="00E30BF7" w:rsidRDefault="00CA480B" w:rsidP="0002517E">
      <w:pPr>
        <w:rPr>
          <w:i/>
        </w:rPr>
      </w:pPr>
      <w:proofErr w:type="spellStart"/>
      <w:r>
        <w:rPr>
          <w:i/>
        </w:rPr>
        <w:t>city_large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7B91B31" w14:textId="77777777" w:rsidR="00366E38" w:rsidRPr="00540C6D" w:rsidRDefault="00366E38" w:rsidP="0002517E">
      <w:r>
        <w:t>An indicator variable for the community being a large city in</w:t>
      </w:r>
      <w:r w:rsidR="00F70174">
        <w:t xml:space="preserve"> the</w:t>
      </w:r>
      <w:r>
        <w:t xml:space="preserve"> postal code where the student last attended school with a reference category of non-large city. Large city defined as a territory inside an urbanized area and inside a principal city with population of 250,000 or more.</w:t>
      </w:r>
    </w:p>
    <w:p w14:paraId="0354FA80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city_mid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E1AAFDA" w14:textId="77777777" w:rsidR="00366E38" w:rsidRPr="00366E38" w:rsidRDefault="00366E38" w:rsidP="0002517E">
      <w:r>
        <w:t xml:space="preserve">An indicator variable for the community being a midsize city in </w:t>
      </w:r>
      <w:r w:rsidR="00F70174">
        <w:t xml:space="preserve">the </w:t>
      </w:r>
      <w:r>
        <w:t xml:space="preserve">postal code where the student last attended school with a reference </w:t>
      </w:r>
      <w:r w:rsidR="00972E74">
        <w:t>category of non-midsize</w:t>
      </w:r>
      <w:r>
        <w:t xml:space="preserve"> city. Midsize city defined as a territory inside an urbanized area and inside a principal city with population less than 250,000 and</w:t>
      </w:r>
      <w:r w:rsidRPr="00366E38">
        <w:t xml:space="preserve"> greater than or equal to 100,000.</w:t>
      </w:r>
    </w:p>
    <w:p w14:paraId="10D9369C" w14:textId="77777777" w:rsidR="00995B8E" w:rsidRDefault="00E30BF7" w:rsidP="0002517E">
      <w:pPr>
        <w:rPr>
          <w:i/>
        </w:rPr>
      </w:pPr>
      <w:proofErr w:type="spellStart"/>
      <w:r w:rsidRPr="00156345">
        <w:rPr>
          <w:i/>
        </w:rPr>
        <w:t>city_small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810C52D" w14:textId="77777777" w:rsidR="00E30BF7" w:rsidRPr="00995B8E" w:rsidRDefault="00972E74" w:rsidP="0002517E">
      <w:pPr>
        <w:rPr>
          <w:i/>
        </w:rPr>
      </w:pPr>
      <w:r>
        <w:t xml:space="preserve">An indicator variable for the community being a small city in </w:t>
      </w:r>
      <w:r w:rsidR="00F70174">
        <w:t xml:space="preserve">the </w:t>
      </w:r>
      <w:r>
        <w:t xml:space="preserve">postal code where the student last attended school with a reference category of non-small city. Small city defined as a territory inside an urbanized area and inside a principal city with population </w:t>
      </w:r>
      <w:r w:rsidR="00A61400">
        <w:t>less than</w:t>
      </w:r>
      <w:r w:rsidRPr="00366E38">
        <w:t xml:space="preserve"> 100,000.</w:t>
      </w:r>
    </w:p>
    <w:p w14:paraId="01D24C3B" w14:textId="77777777" w:rsidR="00E22F26" w:rsidRDefault="00E22F26" w:rsidP="0002517E">
      <w:pPr>
        <w:rPr>
          <w:i/>
        </w:rPr>
      </w:pPr>
    </w:p>
    <w:p w14:paraId="0673E472" w14:textId="77777777" w:rsidR="00E22F26" w:rsidRDefault="00E22F26" w:rsidP="0002517E">
      <w:pPr>
        <w:rPr>
          <w:i/>
        </w:rPr>
      </w:pPr>
    </w:p>
    <w:p w14:paraId="36694CA1" w14:textId="7BC317C5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lastRenderedPageBreak/>
        <w:t>suburb_large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0AD8AF1" w14:textId="77777777" w:rsidR="00EC59A4" w:rsidRPr="00EC59A4" w:rsidRDefault="00EC59A4" w:rsidP="00EE6AA7">
      <w:r>
        <w:t xml:space="preserve">An indicator variable for the community being a </w:t>
      </w:r>
      <w:r w:rsidR="00F70174">
        <w:t>large suburban area</w:t>
      </w:r>
      <w:r>
        <w:t xml:space="preserve"> in </w:t>
      </w:r>
      <w:r w:rsidR="00F70174">
        <w:t xml:space="preserve">the </w:t>
      </w:r>
      <w:r>
        <w:t>postal code where the student last attended school with a reference category of non-</w:t>
      </w:r>
      <w:r w:rsidR="00EE6AA7">
        <w:t>large suburban area</w:t>
      </w:r>
      <w:r>
        <w:t xml:space="preserve">. </w:t>
      </w:r>
      <w:r w:rsidR="00EE6AA7">
        <w:t>Large suburban area</w:t>
      </w:r>
      <w:r>
        <w:t xml:space="preserve"> defined as </w:t>
      </w:r>
      <w:r w:rsidR="00EE6AA7">
        <w:t>a territory outside a principal city and inside an urbanized area with population of 250,000 or more.</w:t>
      </w:r>
    </w:p>
    <w:p w14:paraId="1CB7F9D9" w14:textId="77777777" w:rsidR="00E30BF7" w:rsidRDefault="00F70174" w:rsidP="0002517E">
      <w:pPr>
        <w:rPr>
          <w:i/>
        </w:rPr>
      </w:pPr>
      <w:proofErr w:type="spellStart"/>
      <w:r>
        <w:rPr>
          <w:i/>
        </w:rPr>
        <w:t>suburb_mid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58F8B972" w14:textId="77777777" w:rsidR="00EE6AA7" w:rsidRDefault="00EE6AA7" w:rsidP="00EE6AA7">
      <w:r>
        <w:t>An indicator variable for the community being a midsize suburban area in the postal code where the student last attended school with a reference category of non-midsize suburban area. Midsize suburban area defined as a territory outside a principal city and inside an urbanized area with population less than 250,000 and greater than or equal to 100,000.</w:t>
      </w:r>
    </w:p>
    <w:p w14:paraId="58EF37EC" w14:textId="77777777" w:rsidR="00F70174" w:rsidRDefault="00E30BF7" w:rsidP="00EE6AA7">
      <w:pPr>
        <w:rPr>
          <w:i/>
        </w:rPr>
      </w:pPr>
      <w:proofErr w:type="spellStart"/>
      <w:r w:rsidRPr="00156345">
        <w:rPr>
          <w:i/>
        </w:rPr>
        <w:t>suburb_small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C41314C" w14:textId="77777777" w:rsidR="00565B6F" w:rsidRPr="00565B6F" w:rsidRDefault="00565B6F" w:rsidP="00EE6AA7">
      <w:r>
        <w:t>An indicator variable for the community being a small suburban area in the postal code where the student last attended school with a reference category of non-small suburban area. Small suburban area defined as a</w:t>
      </w:r>
      <w:r w:rsidR="009C1C2F">
        <w:t xml:space="preserve"> territory outside a principal city and inside an urbanized area with population less than 100,000.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4ABC47B5" w:rsidR="00573F91" w:rsidRPr="00E22F26" w:rsidRDefault="00557047" w:rsidP="0002517E">
      <w:r>
        <w:t>An indicator variable for Pell grant eligibility with a reference category of non-Pell grant eligibility.</w:t>
      </w:r>
    </w:p>
    <w:p w14:paraId="5E4799E3" w14:textId="77777777" w:rsidR="00F70174" w:rsidRDefault="00156345" w:rsidP="0002517E">
      <w:pPr>
        <w:rPr>
          <w:i/>
        </w:rPr>
      </w:pPr>
      <w:proofErr w:type="spellStart"/>
      <w:r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7777777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registered.</w:t>
      </w:r>
    </w:p>
    <w:p w14:paraId="7AC077AD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class_count</w:t>
      </w:r>
      <w:proofErr w:type="spellEnd"/>
      <w:r w:rsidR="00C7291F">
        <w:rPr>
          <w:i/>
        </w:rPr>
        <w:t xml:space="preserve"> (internal)</w:t>
      </w:r>
    </w:p>
    <w:p w14:paraId="44BC1877" w14:textId="77777777" w:rsidR="00887B01" w:rsidRPr="00887B01" w:rsidRDefault="00887B01" w:rsidP="0002517E">
      <w:r w:rsidRPr="00887B01">
        <w:t xml:space="preserve">A discrete variable </w:t>
      </w:r>
      <w:r>
        <w:t xml:space="preserve">for the number of courses in which the student is registered.  </w:t>
      </w:r>
    </w:p>
    <w:p w14:paraId="7F03675E" w14:textId="77777777" w:rsidR="00F70174" w:rsidRDefault="00E30BF7" w:rsidP="0002517E">
      <w:pPr>
        <w:rPr>
          <w:i/>
        </w:rPr>
      </w:pPr>
      <w:proofErr w:type="spellStart"/>
      <w:r w:rsidRPr="00156345">
        <w:rPr>
          <w:i/>
        </w:rPr>
        <w:t>lec_contact_hrs</w:t>
      </w:r>
      <w:proofErr w:type="spellEnd"/>
      <w:r w:rsidR="00C7291F">
        <w:rPr>
          <w:i/>
        </w:rPr>
        <w:t xml:space="preserve"> (internal)</w:t>
      </w:r>
    </w:p>
    <w:p w14:paraId="40A16EB2" w14:textId="77777777" w:rsidR="009E6C02" w:rsidRPr="009E6C02" w:rsidRDefault="009E6C02" w:rsidP="0002517E">
      <w:r>
        <w:t>A discrete variable for the total number of contact hours for the lecture courses in which the student is registered.</w:t>
      </w:r>
    </w:p>
    <w:p w14:paraId="0C206BB9" w14:textId="77777777" w:rsidR="00E30BF7" w:rsidRDefault="00EE6AA7" w:rsidP="00086AA6">
      <w:pPr>
        <w:rPr>
          <w:i/>
        </w:rPr>
      </w:pPr>
      <w:proofErr w:type="spellStart"/>
      <w:r>
        <w:rPr>
          <w:i/>
        </w:rPr>
        <w:t>lab_contact_hrs</w:t>
      </w:r>
      <w:proofErr w:type="spellEnd"/>
      <w:r w:rsidR="00C7291F">
        <w:rPr>
          <w:i/>
        </w:rPr>
        <w:t xml:space="preserve"> (internal)</w:t>
      </w:r>
    </w:p>
    <w:p w14:paraId="52D14F81" w14:textId="77777777" w:rsidR="009E6C02" w:rsidRPr="009E6C02" w:rsidRDefault="009E6C02" w:rsidP="00086AA6">
      <w:r>
        <w:t>A discrete variable for the total number of lab contact hours for the laboratory courses in which the student is registered.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lastRenderedPageBreak/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77777777" w:rsidR="00156345" w:rsidRDefault="00EE6AA7" w:rsidP="00086AA6">
      <w:pPr>
        <w:rPr>
          <w:i/>
        </w:rPr>
      </w:pPr>
      <w:proofErr w:type="spellStart"/>
      <w:r>
        <w:rPr>
          <w:i/>
        </w:rPr>
        <w:t>high_school_gpa</w:t>
      </w:r>
      <w:proofErr w:type="spellEnd"/>
      <w:r w:rsidR="00C7291F">
        <w:rPr>
          <w:i/>
        </w:rPr>
        <w:t xml:space="preserve"> (internal)</w:t>
      </w:r>
    </w:p>
    <w:p w14:paraId="65263710" w14:textId="77777777" w:rsidR="00086AA6" w:rsidRPr="00086AA6" w:rsidRDefault="00086AA6" w:rsidP="00086AA6">
      <w:r>
        <w:t>A continuous variable for the high school grade point average of the student.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77777777" w:rsidR="00086AA6" w:rsidRP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77777777" w:rsidR="00652B35" w:rsidRDefault="00652B35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59017975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90ECF" w:rsidRPr="00091BD4">
        <w:t>is only used for model training based on prior years’ data. For the current year</w:t>
      </w:r>
      <w:r w:rsidR="004F70C5">
        <w:t xml:space="preserve"> students</w:t>
      </w:r>
      <w:r w:rsidR="00390ECF" w:rsidRPr="00091BD4">
        <w:t>, the trained model tries to predict the</w:t>
      </w:r>
      <w:r w:rsidR="004F70C5">
        <w:t>ir</w:t>
      </w:r>
      <w:r w:rsidR="00390ECF" w:rsidRPr="00091BD4">
        <w:t xml:space="preserve"> enrollment outcome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10E38796" w:rsidR="00E22F26" w:rsidRDefault="00E22F26" w:rsidP="004F432E"/>
    <w:p w14:paraId="03D548DC" w14:textId="2858C602" w:rsidR="00941A3C" w:rsidRDefault="00941A3C" w:rsidP="004F432E"/>
    <w:p w14:paraId="70B0F0D7" w14:textId="4F1465FC" w:rsidR="00941A3C" w:rsidRDefault="00941A3C" w:rsidP="004F432E"/>
    <w:p w14:paraId="5C995461" w14:textId="0146F34B" w:rsidR="00941A3C" w:rsidRDefault="00941A3C" w:rsidP="004F432E"/>
    <w:p w14:paraId="19F046DC" w14:textId="31DB2BC2" w:rsidR="00941A3C" w:rsidRDefault="00941A3C" w:rsidP="004F432E"/>
    <w:p w14:paraId="402A7B8B" w14:textId="38D25F52" w:rsidR="00941A3C" w:rsidRDefault="00941A3C" w:rsidP="004F432E"/>
    <w:p w14:paraId="799FAA72" w14:textId="7D5AD990" w:rsidR="00941A3C" w:rsidRDefault="00941A3C" w:rsidP="004F432E"/>
    <w:p w14:paraId="215956C9" w14:textId="7B631F07" w:rsidR="00941A3C" w:rsidRDefault="00941A3C" w:rsidP="004F432E"/>
    <w:p w14:paraId="24AA50B9" w14:textId="34E78261" w:rsidR="00941A3C" w:rsidRDefault="00941A3C" w:rsidP="004F432E"/>
    <w:p w14:paraId="30818D6B" w14:textId="751B14F7" w:rsidR="00941A3C" w:rsidRDefault="00941A3C" w:rsidP="004F432E"/>
    <w:p w14:paraId="2B00326E" w14:textId="419B729D" w:rsidR="00941A3C" w:rsidRDefault="00941A3C" w:rsidP="004F432E"/>
    <w:p w14:paraId="0388C3E9" w14:textId="30D07113" w:rsidR="00941A3C" w:rsidRDefault="00941A3C" w:rsidP="004F432E"/>
    <w:p w14:paraId="478EBEEB" w14:textId="4A3F0F1E" w:rsidR="00941A3C" w:rsidRDefault="00941A3C" w:rsidP="004F432E"/>
    <w:p w14:paraId="7033D241" w14:textId="77777777" w:rsidR="00941A3C" w:rsidRPr="00091BD4" w:rsidRDefault="00941A3C" w:rsidP="004F432E"/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2B901C9D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four different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C4445E">
        <w:t>: logistic regression, support vector classification, 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 xml:space="preserve">against one another yielding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mai</w:t>
      </w:r>
      <w:r w:rsidR="00AC5178">
        <w:t>ntaining</w:t>
      </w:r>
      <w:r w:rsidR="00F02FF9">
        <w:t xml:space="preserve"> accuracy</w:t>
      </w:r>
      <w:r w:rsidR="005C6FBD">
        <w:t xml:space="preserve"> in its predictions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D70A2C9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236BB0">
        <w:t>is</w:t>
      </w:r>
      <w:r w:rsidR="00112069">
        <w:t xml:space="preserve"> </w:t>
      </w:r>
      <w:r w:rsidR="00070EEA">
        <w:t>a</w:t>
      </w:r>
      <w:r w:rsidR="00AD5DA8">
        <w:t>n exogenous</w:t>
      </w:r>
      <w:r w:rsidR="00112069">
        <w:t xml:space="preserve"> </w:t>
      </w:r>
      <w:r w:rsidR="00070EEA">
        <w:t>parameter</w:t>
      </w:r>
      <w:r w:rsidR="00112069">
        <w:t xml:space="preserve"> </w:t>
      </w:r>
      <w:r w:rsidR="00070EEA">
        <w:t xml:space="preserve">that </w:t>
      </w:r>
      <w:r w:rsidR="00AD5DA8">
        <w:t>can be adjusted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345B9C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71E90D19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8E50D3">
        <w:t>For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236BB0">
        <w:t>is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345B9C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545D4A2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lastRenderedPageBreak/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345B9C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77777777" w:rsidR="00B027BB" w:rsidRDefault="00B027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77F65BFE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345B9C" w:rsidP="009C4270">
      <w:hyperlink r:id="rId10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2EC28368" w14:textId="3034AAE6" w:rsidR="000525C3" w:rsidRDefault="00345B9C" w:rsidP="00416EEC">
      <w:pPr>
        <w:rPr>
          <w:i/>
        </w:rPr>
      </w:pPr>
      <w:hyperlink r:id="rId11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7737F070" w14:textId="77777777" w:rsidR="00631667" w:rsidRPr="000525C3" w:rsidRDefault="00631667" w:rsidP="00416EEC">
      <w:pPr>
        <w:rPr>
          <w:i/>
        </w:rPr>
      </w:pPr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14:paraId="0847986F" w14:textId="39F45AE5" w:rsidR="0099464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44ECFA1" w14:textId="6614FFCD" w:rsidR="00CA41F0" w:rsidRDefault="00CA41F0" w:rsidP="00416EEC"/>
    <w:p w14:paraId="4EA649FE" w14:textId="5C716C0A" w:rsidR="00941A3C" w:rsidRDefault="00941A3C" w:rsidP="00416EEC"/>
    <w:p w14:paraId="2CE136DB" w14:textId="74DDB310" w:rsidR="00941A3C" w:rsidRDefault="00941A3C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18E0A274" w14:textId="1412CF7C" w:rsidR="00614BA9" w:rsidRDefault="007D49FA" w:rsidP="00416EEC">
      <w:r>
        <w:t>T</w:t>
      </w:r>
      <w:r w:rsidR="00614BA9">
        <w:t xml:space="preserve">able </w:t>
      </w:r>
      <w:r>
        <w:t xml:space="preserve">1 </w:t>
      </w:r>
      <w:r w:rsidR="00614BA9">
        <w:t>presents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</w:t>
      </w:r>
      <w:r w:rsidR="004F33A0">
        <w:t xml:space="preserve">only </w:t>
      </w:r>
      <w:r w:rsidR="00614BA9">
        <w:t>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unbiased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>in the next year as its outcome. Positive</w:t>
      </w:r>
      <w:r w:rsidR="00914E3E">
        <w:t xml:space="preserve"> log odds</w:t>
      </w:r>
      <w:r w:rsidR="00FE6444">
        <w:t xml:space="preserve"> coefficients denote </w:t>
      </w:r>
      <w:r w:rsidR="00CC527B">
        <w:t>those variables that increase the odds of retention, while negative</w:t>
      </w:r>
      <w:r w:rsidR="00914E3E">
        <w:t xml:space="preserve"> log odds</w:t>
      </w:r>
      <w:r w:rsidR="00CC527B">
        <w:t xml:space="preserve"> coefficients denote those variables that </w:t>
      </w:r>
      <w:r w:rsidR="004F33A0">
        <w:t>decrease the odds of retention.</w:t>
      </w:r>
      <w:r w:rsidR="00914E3E">
        <w:t xml:space="preserve"> </w:t>
      </w:r>
      <w:bookmarkStart w:id="0" w:name="_GoBack"/>
      <w:r w:rsidR="00914E3E">
        <w:t xml:space="preserve">Exponentiated </w:t>
      </w:r>
      <w:bookmarkEnd w:id="0"/>
      <w:r w:rsidR="00914E3E">
        <w:t>log odds yield odds ratios.</w:t>
      </w:r>
    </w:p>
    <w:p w14:paraId="37D7698A" w14:textId="77777777" w:rsidR="0027210C" w:rsidRPr="00614BA9" w:rsidRDefault="0027210C" w:rsidP="00416EEC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27210C" w14:paraId="3177EAE1" w14:textId="77777777" w:rsidTr="0027210C">
        <w:trPr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77777777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1. Logistic regression model results for the training data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614BA9">
        <w:trPr>
          <w:trHeight w:val="4759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5ADC4B86" w:rsidR="000804AA" w:rsidRPr="0027210C" w:rsidRDefault="005930D0" w:rsidP="00525C4E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C355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5.2pt;height:428.4pt">
                  <v:imagedata r:id="rId12" o:title="Capture"/>
                </v:shape>
              </w:pict>
            </w:r>
          </w:p>
        </w:tc>
      </w:tr>
    </w:tbl>
    <w:p w14:paraId="50BA7683" w14:textId="7E5DF451" w:rsidR="000C1254" w:rsidRDefault="00BA5266" w:rsidP="001D58FA">
      <w:r>
        <w:lastRenderedPageBreak/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BF13FD">
        <w:t xml:space="preserve"> grey</w:t>
      </w:r>
      <w:r w:rsidR="004062AD">
        <w:t xml:space="preserve"> 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 xml:space="preserve">threshold for classification. In this case, the threshold being the value above which an observation would be classified as retained and below which an observation would be classified as withdrawn.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A14298">
        <w:t xml:space="preserve"> in binary classification</w:t>
      </w:r>
      <w:r w:rsidR="00DB1C22">
        <w:t xml:space="preserve"> is</w:t>
      </w:r>
      <w:r w:rsidR="00F73AF1">
        <w:t xml:space="preserve"> .50.</w:t>
      </w:r>
    </w:p>
    <w:p w14:paraId="31441BC9" w14:textId="3265800D" w:rsidR="00DB1C22" w:rsidRDefault="00BF13FD" w:rsidP="001D58FA">
      <w:r>
        <w:t xml:space="preserve">The ROC curve for the ensemble model is displayed in the figure as a solid black line. </w:t>
      </w:r>
      <w:r w:rsidR="00DB1C22">
        <w:t xml:space="preserve">The AUC for </w:t>
      </w:r>
      <w:r>
        <w:t>the ensemble model is .8077. T</w:t>
      </w:r>
      <w:r w:rsidR="00DB1C22">
        <w:t xml:space="preserve">he overall accuracy of the ensemble model </w:t>
      </w:r>
      <w:r>
        <w:t xml:space="preserve">at the .50 threshold level </w:t>
      </w:r>
      <w:r w:rsidR="00DB1C22">
        <w:t xml:space="preserve">is .8418.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15F8DF9D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Ensemble model receiver operating characteristic (ROC) curve </w:t>
            </w:r>
            <w:r w:rsidR="00FC7639">
              <w:rPr>
                <w:b/>
                <w:i/>
              </w:rPr>
              <w:t>for the training data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E3B3C7" w:rsidR="0027210C" w:rsidRDefault="005930D0" w:rsidP="0027210C">
            <w:pPr>
              <w:jc w:val="center"/>
            </w:pPr>
            <w:r>
              <w:pict w14:anchorId="0DFE5BB0">
                <v:shape id="_x0000_i1026" type="#_x0000_t75" style="width:364.8pt;height:248.4pt">
                  <v:imagedata r:id="rId13" o:title="ensemble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3833394C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the performance of the </w:t>
      </w:r>
      <w:r w:rsidR="00A14298">
        <w:t xml:space="preserve">pre-census </w:t>
      </w:r>
      <w:r w:rsidR="00843E0E">
        <w:t>student risk model in predicting students’ risk of withdrawal in the next year is considered to be good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strategy. Further performance improvements </w:t>
      </w:r>
      <w:r w:rsidR="0078186B">
        <w:t xml:space="preserve">could be </w:t>
      </w:r>
      <w:r w:rsidR="00582C03">
        <w:t>gained</w:t>
      </w:r>
      <w:r w:rsidR="0078186B">
        <w:t xml:space="preserve"> with</w:t>
      </w:r>
      <w:r w:rsidR="002E0B10">
        <w:t xml:space="preserve"> the</w:t>
      </w:r>
      <w:r>
        <w:t xml:space="preserve"> </w:t>
      </w:r>
      <w:r w:rsidR="00375135">
        <w:t xml:space="preserve">additional data </w:t>
      </w:r>
      <w:r w:rsidR="002E0B10">
        <w:t>available on</w:t>
      </w:r>
      <w:r w:rsidR="00375135">
        <w:t xml:space="preserve"> students </w:t>
      </w:r>
      <w:r w:rsidR="002E0B10">
        <w:t xml:space="preserve">post-census </w:t>
      </w:r>
      <w:r w:rsidR="00375135">
        <w:t>or</w:t>
      </w:r>
      <w:r>
        <w:t xml:space="preserve"> </w:t>
      </w:r>
      <w:r w:rsidR="0078186B">
        <w:t xml:space="preserve">with </w:t>
      </w:r>
      <w:r>
        <w:t xml:space="preserve">subsequent model </w:t>
      </w:r>
      <w:r w:rsidR="0078186B">
        <w:t xml:space="preserve">tuning and </w:t>
      </w:r>
      <w:r w:rsidR="00375135">
        <w:t>refinements</w:t>
      </w:r>
      <w:r>
        <w:t>.</w:t>
      </w:r>
    </w:p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lastRenderedPageBreak/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212BC"/>
    <w:rsid w:val="0002517E"/>
    <w:rsid w:val="00037BDF"/>
    <w:rsid w:val="000423E7"/>
    <w:rsid w:val="00050AB4"/>
    <w:rsid w:val="00052304"/>
    <w:rsid w:val="000525C3"/>
    <w:rsid w:val="00053179"/>
    <w:rsid w:val="00070EEA"/>
    <w:rsid w:val="00072B9C"/>
    <w:rsid w:val="000804AA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6505"/>
    <w:rsid w:val="00133CF5"/>
    <w:rsid w:val="00133D6D"/>
    <w:rsid w:val="00156345"/>
    <w:rsid w:val="00161E76"/>
    <w:rsid w:val="00163514"/>
    <w:rsid w:val="001826DE"/>
    <w:rsid w:val="00191A9C"/>
    <w:rsid w:val="001928B0"/>
    <w:rsid w:val="001A6419"/>
    <w:rsid w:val="001B0F98"/>
    <w:rsid w:val="001B4FEC"/>
    <w:rsid w:val="001C1C41"/>
    <w:rsid w:val="001C3E3C"/>
    <w:rsid w:val="001D58FA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E0B10"/>
    <w:rsid w:val="002E16DD"/>
    <w:rsid w:val="002E6679"/>
    <w:rsid w:val="00345B9C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5A27"/>
    <w:rsid w:val="004961C0"/>
    <w:rsid w:val="004A1C31"/>
    <w:rsid w:val="004A28AF"/>
    <w:rsid w:val="004A6B23"/>
    <w:rsid w:val="004A7FA0"/>
    <w:rsid w:val="004D1828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30D0"/>
    <w:rsid w:val="00593CD1"/>
    <w:rsid w:val="005B19EB"/>
    <w:rsid w:val="005C6FBD"/>
    <w:rsid w:val="005E5CB4"/>
    <w:rsid w:val="00601D9E"/>
    <w:rsid w:val="00604B31"/>
    <w:rsid w:val="00614BA9"/>
    <w:rsid w:val="006302FA"/>
    <w:rsid w:val="00631667"/>
    <w:rsid w:val="00652B35"/>
    <w:rsid w:val="00653572"/>
    <w:rsid w:val="006567A5"/>
    <w:rsid w:val="00662E90"/>
    <w:rsid w:val="00671F2A"/>
    <w:rsid w:val="00683CA6"/>
    <w:rsid w:val="006A4D8D"/>
    <w:rsid w:val="00710A42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E50D3"/>
    <w:rsid w:val="008E65E2"/>
    <w:rsid w:val="008F6346"/>
    <w:rsid w:val="0090347F"/>
    <w:rsid w:val="00914E3E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30694"/>
    <w:rsid w:val="00A52BF6"/>
    <w:rsid w:val="00A566D1"/>
    <w:rsid w:val="00A61400"/>
    <w:rsid w:val="00A64D4D"/>
    <w:rsid w:val="00A77D02"/>
    <w:rsid w:val="00A93CD6"/>
    <w:rsid w:val="00AA0A97"/>
    <w:rsid w:val="00AA4879"/>
    <w:rsid w:val="00AA5FA0"/>
    <w:rsid w:val="00AB4A71"/>
    <w:rsid w:val="00AC5178"/>
    <w:rsid w:val="00AC7D26"/>
    <w:rsid w:val="00AD5DA8"/>
    <w:rsid w:val="00AF34D3"/>
    <w:rsid w:val="00AF579E"/>
    <w:rsid w:val="00B027BB"/>
    <w:rsid w:val="00B036E5"/>
    <w:rsid w:val="00B03810"/>
    <w:rsid w:val="00B5021A"/>
    <w:rsid w:val="00B54F1B"/>
    <w:rsid w:val="00B55401"/>
    <w:rsid w:val="00B55E4A"/>
    <w:rsid w:val="00B71076"/>
    <w:rsid w:val="00B74435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32CAA"/>
    <w:rsid w:val="00C3632E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B509D"/>
    <w:rsid w:val="00CC527B"/>
    <w:rsid w:val="00CC7D91"/>
    <w:rsid w:val="00CF1F39"/>
    <w:rsid w:val="00D26CAE"/>
    <w:rsid w:val="00D41B8D"/>
    <w:rsid w:val="00D50D2C"/>
    <w:rsid w:val="00D617BC"/>
    <w:rsid w:val="00DA0090"/>
    <w:rsid w:val="00DB1C22"/>
    <w:rsid w:val="00DD67F1"/>
    <w:rsid w:val="00DE0AC1"/>
    <w:rsid w:val="00E01428"/>
    <w:rsid w:val="00E0393F"/>
    <w:rsid w:val="00E22F26"/>
    <w:rsid w:val="00E30BF7"/>
    <w:rsid w:val="00E32B49"/>
    <w:rsid w:val="00E335AA"/>
    <w:rsid w:val="00E440B9"/>
    <w:rsid w:val="00E466E6"/>
    <w:rsid w:val="00E52A41"/>
    <w:rsid w:val="00E55F4E"/>
    <w:rsid w:val="00E627EE"/>
    <w:rsid w:val="00E64B46"/>
    <w:rsid w:val="00E700CE"/>
    <w:rsid w:val="00E76679"/>
    <w:rsid w:val="00E96BF0"/>
    <w:rsid w:val="00EA65A7"/>
    <w:rsid w:val="00EB739C"/>
    <w:rsid w:val="00EC51F1"/>
    <w:rsid w:val="00EC59A4"/>
    <w:rsid w:val="00EC5D1C"/>
    <w:rsid w:val="00EE2195"/>
    <w:rsid w:val="00EE6AA7"/>
    <w:rsid w:val="00EF08E4"/>
    <w:rsid w:val="00EF3E6E"/>
    <w:rsid w:val="00EF60C3"/>
    <w:rsid w:val="00EF6C8D"/>
    <w:rsid w:val="00F02FF9"/>
    <w:rsid w:val="00F12383"/>
    <w:rsid w:val="00F209B9"/>
    <w:rsid w:val="00F67D91"/>
    <w:rsid w:val="00F70174"/>
    <w:rsid w:val="00F73976"/>
    <w:rsid w:val="00F73AF1"/>
    <w:rsid w:val="00F84E8C"/>
    <w:rsid w:val="00F86C71"/>
    <w:rsid w:val="00F9568E"/>
    <w:rsid w:val="00FC7639"/>
    <w:rsid w:val="00FD4D1B"/>
    <w:rsid w:val="00FE40DD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Voting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10</Pages>
  <Words>2913</Words>
  <Characters>16606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225</cp:revision>
  <dcterms:created xsi:type="dcterms:W3CDTF">2020-09-15T16:50:00Z</dcterms:created>
  <dcterms:modified xsi:type="dcterms:W3CDTF">2020-10-10T16:51:00Z</dcterms:modified>
</cp:coreProperties>
</file>