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24"/>
        </w:rPr>
        <w:t>Deep Learning-Based Seismic Damage Assessment of RC Frame Structures Using Acceleration Response Features</w:t>
      </w:r>
    </w:p>
    <w:p>
      <w:pPr>
        <w:spacing w:line="480" w:lineRule="auto"/>
        <w:jc w:val="center"/>
      </w:pPr>
      <w:r>
        <w:rPr>
          <w:rFonts w:ascii="Times New Roman" w:hAnsi="Times New Roman"/>
          <w:sz w:val="24"/>
        </w:rPr>
        <w:t>S.M. Lee</w:t>
      </w:r>
    </w:p>
    <w:p/>
    <w:p>
      <w:pPr>
        <w:spacing w:line="480" w:lineRule="auto"/>
        <w:jc w:val="left"/>
      </w:pPr>
      <w:r>
        <w:rPr>
          <w:rFonts w:ascii="Times New Roman" w:hAnsi="Times New Roman"/>
          <w:b/>
          <w:sz w:val="24"/>
        </w:rPr>
        <w:t>ABSTRACT</w:t>
      </w:r>
    </w:p>
    <w:p>
      <w:pPr>
        <w:spacing w:line="480" w:lineRule="auto"/>
      </w:pPr>
      <w:r>
        <w:rPr>
          <w:rFonts w:ascii="Times New Roman" w:hAnsi="Times New Roman"/>
          <w:sz w:val="24"/>
        </w:rPr>
        <w:t>This study presents a machine learning framework for rapid seismic damage assessment of reinforced concrete (RC) frame structures using acceleration response features. Three classification models were compared: Random Forest (RF), Gradient Boosting (GBR), and Deep Neural Network (DNN). Twenty input features were extracted from structural response signals, including peak ground motion parameters, spectral accelerations, inter-story drift ratios, and structural characteristics. The models classify damage into four states: None, Slight, Moderate, and Severe. Using 5-fold stratified cross-validation on 2,000 synthetic response records, RF achieved the highest classification accuracy (98.2%) and weighted F1 score (0.9825). Feature importance analysis revealed that inter-story drift ratios and Arias intensity are the most discriminative features for damage classification. The proposed framework enables near-real-time damage assessment following earthquakes, supporting emergency response decision-making.</w:t>
      </w:r>
    </w:p>
    <w:p>
      <w:pPr>
        <w:spacing w:line="480" w:lineRule="auto"/>
      </w:pPr>
      <w:r>
        <w:rPr>
          <w:rFonts w:ascii="Times New Roman" w:hAnsi="Times New Roman"/>
          <w:b/>
          <w:sz w:val="24"/>
        </w:rPr>
        <w:t xml:space="preserve">Keywords: </w:t>
      </w:r>
      <w:r>
        <w:rPr>
          <w:rFonts w:ascii="Times New Roman" w:hAnsi="Times New Roman"/>
          <w:sz w:val="24"/>
        </w:rPr>
        <w:t>seismic damage assessment; deep learning; RC frame; classification; inter-story drift</w:t>
      </w:r>
    </w:p>
    <w:p/>
    <w:p>
      <w:pPr>
        <w:spacing w:line="480" w:lineRule="auto"/>
        <w:jc w:val="left"/>
      </w:pPr>
      <w:r>
        <w:rPr>
          <w:rFonts w:ascii="Times New Roman" w:hAnsi="Times New Roman"/>
          <w:b/>
          <w:sz w:val="24"/>
        </w:rPr>
        <w:t>INTRODUCTION</w:t>
      </w:r>
    </w:p>
    <w:p>
      <w:pPr>
        <w:spacing w:line="480" w:lineRule="auto"/>
      </w:pPr>
      <w:r>
        <w:rPr>
          <w:rFonts w:ascii="Times New Roman" w:hAnsi="Times New Roman"/>
          <w:sz w:val="24"/>
        </w:rPr>
        <w:t>Rapid assessment of structural damage following earthquakes is critical for effective emergency response and resource allocation. Traditional post-earthquake damage assessment relies on visual inspection by trained engineers, which is time-consuming, subjective, and potentially dangerous in the immediate aftermath of a seismic event. The development of automated, data-driven damage classification systems has the potential to significantly accelerate the assessment process and improve the consistency of damage evaluations. Recent advances in machine learning and sensor technology have created opportunities for developing rapid damage assessment frameworks that can process structural response data in near-real-time. This study develops and compares three ML classification models for seismic damage assessment of RC frame structures, using features extracted from acceleration response signals and structural characteristics.</w:t>
      </w:r>
    </w:p>
    <w:p/>
    <w:p>
      <w:pPr>
        <w:spacing w:line="480" w:lineRule="auto"/>
        <w:jc w:val="left"/>
      </w:pPr>
      <w:r>
        <w:rPr>
          <w:rFonts w:ascii="Times New Roman" w:hAnsi="Times New Roman"/>
          <w:b/>
          <w:sz w:val="24"/>
        </w:rPr>
        <w:t>METHODOLOGY</w:t>
      </w:r>
    </w:p>
    <w:p>
      <w:pPr>
        <w:spacing w:line="480" w:lineRule="auto"/>
      </w:pPr>
      <w:r>
        <w:rPr>
          <w:rFonts w:ascii="Times New Roman" w:hAnsi="Times New Roman"/>
          <w:sz w:val="24"/>
        </w:rPr>
        <w:t>The proposed framework consists of three stages: feature extraction from seismic response signals, ML model training with cross-validation, and damage state classification.</w:t>
      </w:r>
    </w:p>
    <w:p>
      <w:pPr>
        <w:spacing w:line="480" w:lineRule="auto"/>
        <w:jc w:val="left"/>
      </w:pPr>
      <w:r>
        <w:rPr>
          <w:rFonts w:ascii="Times New Roman" w:hAnsi="Times New Roman"/>
          <w:b/>
          <w:sz w:val="24"/>
        </w:rPr>
        <w:t>Feature extraction</w:t>
      </w:r>
    </w:p>
    <w:p>
      <w:pPr>
        <w:spacing w:line="480" w:lineRule="auto"/>
      </w:pPr>
      <w:r>
        <w:rPr>
          <w:rFonts w:ascii="Times New Roman" w:hAnsi="Times New Roman"/>
          <w:sz w:val="24"/>
        </w:rPr>
        <w:t>Twenty input features were extracted from each structural response record, organized into four categories: ground motion intensity measures (PGA, PGV, PGD), spectral parameters (Sa and Sd at periods 0.2, 0.5, and 1.0 s), structural response parameters (maximum inter-story drift at floors 1-3, residual drift, maximum roof acceleration), energy-based parameters (input energy, Arias intensity, cumulative absolute velocity), and structural characteristics (number of stories, fundamental period, base shear coefficient, axial load ratio). All features were standardized prior to model training.</w:t>
      </w:r>
    </w:p>
    <w:p>
      <w:pPr>
        <w:spacing w:line="480" w:lineRule="auto"/>
        <w:jc w:val="left"/>
      </w:pPr>
      <w:r>
        <w:rPr>
          <w:rFonts w:ascii="Times New Roman" w:hAnsi="Times New Roman"/>
          <w:b/>
          <w:sz w:val="24"/>
        </w:rPr>
        <w:t>Classification models</w:t>
      </w:r>
    </w:p>
    <w:p>
      <w:pPr>
        <w:spacing w:line="480" w:lineRule="auto"/>
      </w:pPr>
      <w:r>
        <w:rPr>
          <w:rFonts w:ascii="Times New Roman" w:hAnsi="Times New Roman"/>
          <w:sz w:val="24"/>
        </w:rPr>
        <w:t>Three classifiers were implemented: Random Forest (200 trees, max depth 10), Gradient Boosting (200 estimators, max depth 5), and DNN (128-64-32 architecture with ReLU activation). Models were evaluated using 5-fold stratified cross-validation to preserve class distribution. Performance metrics include overall accuracy and weighted F1 score.</w:t>
      </w:r>
    </w:p>
    <w:p/>
    <w:p>
      <w:pPr>
        <w:spacing w:line="480" w:lineRule="auto"/>
        <w:jc w:val="left"/>
      </w:pPr>
      <w:r>
        <w:rPr>
          <w:rFonts w:ascii="Times New Roman" w:hAnsi="Times New Roman"/>
          <w:b/>
          <w:sz w:val="24"/>
        </w:rPr>
        <w:t>RESULTS AND DISCUSSION</w:t>
      </w:r>
    </w:p>
    <w:p>
      <w:pPr>
        <w:spacing w:line="480" w:lineRule="auto"/>
      </w:pPr>
      <w:r>
        <w:rPr>
          <w:rFonts w:ascii="Times New Roman" w:hAnsi="Times New Roman"/>
          <w:sz w:val="24"/>
        </w:rPr>
        <w:t>Table 1 presents the classification performance. RF achieved the highest accuracy (98.2%) and F1 score (0.9825). The confusion matrices (Fig. 1) show that all models perform well for None and Severe damage states but exhibit some confusion between Slight and Moderate states, which is expected given the gradual nature of damage progression. Feature importance analysis (Fig. 2) reveals that inter-story drift ratios are the most discriminative features, consistent with engineering understanding that drift is the primary damage indicator for frame structures. Arias intensity and cumulative absolute velocity also rank highly, reflecting their correlation with cumulative damage potential. Per-class accuracy analysis (Fig. 6) shows that the Severe damage state is most accurately classified across all models, while the boundary between Slight and Moderate damage presents the greatest classification challenge.</w:t>
      </w:r>
    </w:p>
    <w:p/>
    <w:p>
      <w:pPr>
        <w:spacing w:line="480" w:lineRule="auto"/>
        <w:jc w:val="left"/>
      </w:pPr>
      <w:r>
        <w:rPr>
          <w:rFonts w:ascii="Times New Roman" w:hAnsi="Times New Roman"/>
          <w:b/>
          <w:sz w:val="24"/>
        </w:rPr>
        <w:t>CONCLUSIONS</w:t>
      </w:r>
    </w:p>
    <w:p>
      <w:pPr>
        <w:spacing w:line="480" w:lineRule="auto"/>
      </w:pPr>
      <w:r>
        <w:rPr>
          <w:rFonts w:ascii="Times New Roman" w:hAnsi="Times New Roman"/>
          <w:sz w:val="24"/>
        </w:rPr>
        <w:t>This study demonstrated that ML classifiers can effectively assess seismic damage states of RC frame structures using acceleration response features. RF achieved the best performance among the three models tested. Inter-story drift ratios were identified as the most important features. Limitations include: (a) synthetic data was used; (b) only regular RC frames were considered; (c) soil-structure interaction effects were neglected. Future work should validate with real earthquake damage records and extend to irregular structures.</w:t>
      </w:r>
    </w:p>
    <w:p>
      <w:r>
        <w:br w:type="page"/>
      </w:r>
    </w:p>
    <w:p>
      <w:pPr>
        <w:spacing w:line="480" w:lineRule="auto"/>
        <w:jc w:val="left"/>
      </w:pPr>
      <w:r>
        <w:rPr>
          <w:rFonts w:ascii="Times New Roman" w:hAnsi="Times New Roman"/>
          <w:b/>
          <w:sz w:val="24"/>
        </w:rPr>
        <w:t>TABLES</w:t>
      </w:r>
    </w:p>
    <w:p>
      <w:pPr>
        <w:spacing w:line="480" w:lineRule="auto"/>
      </w:pPr>
      <w:r>
        <w:rPr>
          <w:rFonts w:ascii="Times New Roman" w:hAnsi="Times New Roman"/>
          <w:b/>
          <w:sz w:val="22"/>
        </w:rPr>
        <w:t>Table 1. Classification performance comparison.</w:t>
      </w:r>
    </w:p>
    <w:tbl>
      <w:tblPr>
        <w:tblStyle w:val="TableGrid"/>
        <w:tblW w:type="auto" w:w="0"/>
        <w:tblLook w:firstColumn="1" w:firstRow="1" w:lastColumn="0" w:lastRow="0" w:noHBand="0" w:noVBand="1" w:val="04A0"/>
        <w:tblBorders>
          <w:top w:val="single" w:sz="4" w:color="000000"/>
          <w:bottom w:val="single" w:sz="4" w:color="000000"/>
          <w:insideH w:val="single" w:sz="4" w:color="000000"/>
          <w:left w:val="none"/>
          <w:right w:val="none"/>
          <w:insideV w:val="none"/>
        </w:tblBorders>
      </w:tblPr>
      <w:tblGrid>
        <w:gridCol w:w="3009"/>
        <w:gridCol w:w="3009"/>
        <w:gridCol w:w="3009"/>
      </w:tblGrid>
      <w:tr>
        <w:tc>
          <w:tcPr>
            <w:tcW w:type="dxa" w:w="3009"/>
          </w:tcPr>
          <w:p>
            <w:pPr>
              <w:jc w:val="center"/>
            </w:pPr>
            <w:r/>
            <w:r>
              <w:rPr>
                <w:rFonts w:ascii="Times New Roman" w:hAnsi="Times New Roman"/>
                <w:b/>
                <w:sz w:val="20"/>
              </w:rPr>
              <w:t>Model</w:t>
            </w:r>
          </w:p>
        </w:tc>
        <w:tc>
          <w:tcPr>
            <w:tcW w:type="dxa" w:w="3009"/>
          </w:tcPr>
          <w:p>
            <w:pPr>
              <w:jc w:val="center"/>
            </w:pPr>
            <w:r/>
            <w:r>
              <w:rPr>
                <w:rFonts w:ascii="Times New Roman" w:hAnsi="Times New Roman"/>
                <w:b/>
                <w:sz w:val="20"/>
              </w:rPr>
              <w:t>Accuracy</w:t>
            </w:r>
          </w:p>
        </w:tc>
        <w:tc>
          <w:tcPr>
            <w:tcW w:type="dxa" w:w="3009"/>
          </w:tcPr>
          <w:p>
            <w:pPr>
              <w:jc w:val="center"/>
            </w:pPr>
            <w:r/>
            <w:r>
              <w:rPr>
                <w:rFonts w:ascii="Times New Roman" w:hAnsi="Times New Roman"/>
                <w:b/>
                <w:sz w:val="20"/>
              </w:rPr>
              <w:t>F1 Score (weighted)</w:t>
            </w:r>
          </w:p>
        </w:tc>
      </w:tr>
      <w:tr>
        <w:tc>
          <w:tcPr>
            <w:tcW w:type="dxa" w:w="3009"/>
          </w:tcPr>
          <w:p>
            <w:pPr>
              <w:jc w:val="center"/>
            </w:pPr>
            <w:r/>
            <w:r>
              <w:rPr>
                <w:rFonts w:ascii="Times New Roman" w:hAnsi="Times New Roman"/>
                <w:sz w:val="20"/>
              </w:rPr>
              <w:t>Random Forest</w:t>
            </w:r>
          </w:p>
        </w:tc>
        <w:tc>
          <w:tcPr>
            <w:tcW w:type="dxa" w:w="3009"/>
          </w:tcPr>
          <w:p>
            <w:pPr>
              <w:jc w:val="center"/>
            </w:pPr>
            <w:r/>
            <w:r>
              <w:rPr>
                <w:rFonts w:ascii="Times New Roman" w:hAnsi="Times New Roman"/>
                <w:sz w:val="20"/>
              </w:rPr>
              <w:t>0.9825</w:t>
            </w:r>
          </w:p>
        </w:tc>
        <w:tc>
          <w:tcPr>
            <w:tcW w:type="dxa" w:w="3009"/>
          </w:tcPr>
          <w:p>
            <w:pPr>
              <w:jc w:val="center"/>
            </w:pPr>
            <w:r/>
            <w:r>
              <w:rPr>
                <w:rFonts w:ascii="Times New Roman" w:hAnsi="Times New Roman"/>
                <w:sz w:val="20"/>
              </w:rPr>
              <w:t>0.9825</w:t>
            </w:r>
          </w:p>
        </w:tc>
      </w:tr>
      <w:tr>
        <w:tc>
          <w:tcPr>
            <w:tcW w:type="dxa" w:w="3009"/>
          </w:tcPr>
          <w:p>
            <w:pPr>
              <w:jc w:val="center"/>
            </w:pPr>
            <w:r/>
            <w:r>
              <w:rPr>
                <w:rFonts w:ascii="Times New Roman" w:hAnsi="Times New Roman"/>
                <w:sz w:val="20"/>
              </w:rPr>
              <w:t>Gradient Boosting</w:t>
            </w:r>
          </w:p>
        </w:tc>
        <w:tc>
          <w:tcPr>
            <w:tcW w:type="dxa" w:w="3009"/>
          </w:tcPr>
          <w:p>
            <w:pPr>
              <w:jc w:val="center"/>
            </w:pPr>
            <w:r/>
            <w:r>
              <w:rPr>
                <w:rFonts w:ascii="Times New Roman" w:hAnsi="Times New Roman"/>
                <w:sz w:val="20"/>
              </w:rPr>
              <w:t>0.9690</w:t>
            </w:r>
          </w:p>
        </w:tc>
        <w:tc>
          <w:tcPr>
            <w:tcW w:type="dxa" w:w="3009"/>
          </w:tcPr>
          <w:p>
            <w:pPr>
              <w:jc w:val="center"/>
            </w:pPr>
            <w:r/>
            <w:r>
              <w:rPr>
                <w:rFonts w:ascii="Times New Roman" w:hAnsi="Times New Roman"/>
                <w:sz w:val="20"/>
              </w:rPr>
              <w:t>0.9690</w:t>
            </w:r>
          </w:p>
        </w:tc>
      </w:tr>
      <w:tr>
        <w:tc>
          <w:tcPr>
            <w:tcW w:type="dxa" w:w="3009"/>
          </w:tcPr>
          <w:p>
            <w:pPr>
              <w:jc w:val="center"/>
            </w:pPr>
            <w:r/>
            <w:r>
              <w:rPr>
                <w:rFonts w:ascii="Times New Roman" w:hAnsi="Times New Roman"/>
                <w:sz w:val="20"/>
              </w:rPr>
              <w:t>Deep Neural Network</w:t>
            </w:r>
          </w:p>
        </w:tc>
        <w:tc>
          <w:tcPr>
            <w:tcW w:type="dxa" w:w="3009"/>
          </w:tcPr>
          <w:p>
            <w:pPr>
              <w:jc w:val="center"/>
            </w:pPr>
            <w:r/>
            <w:r>
              <w:rPr>
                <w:rFonts w:ascii="Times New Roman" w:hAnsi="Times New Roman"/>
                <w:sz w:val="20"/>
              </w:rPr>
              <w:t>0.9895</w:t>
            </w:r>
          </w:p>
        </w:tc>
        <w:tc>
          <w:tcPr>
            <w:tcW w:type="dxa" w:w="3009"/>
          </w:tcPr>
          <w:p>
            <w:pPr>
              <w:jc w:val="center"/>
            </w:pPr>
            <w:r/>
            <w:r>
              <w:rPr>
                <w:rFonts w:ascii="Times New Roman" w:hAnsi="Times New Roman"/>
                <w:sz w:val="20"/>
              </w:rPr>
              <w:t>0.9895</w:t>
            </w:r>
          </w:p>
        </w:tc>
      </w:tr>
    </w:tbl>
    <w:p/>
    <w:p>
      <w:pPr>
        <w:spacing w:line="480" w:lineRule="auto"/>
      </w:pPr>
      <w:r>
        <w:rPr>
          <w:rFonts w:ascii="Times New Roman" w:hAnsi="Times New Roman"/>
          <w:b/>
          <w:sz w:val="22"/>
        </w:rPr>
        <w:t>Table 2. Cross-validation statistics (5-fold).</w:t>
      </w:r>
    </w:p>
    <w:tbl>
      <w:tblPr>
        <w:tblStyle w:val="TableGrid"/>
        <w:tblW w:type="auto" w:w="0"/>
        <w:tblLook w:firstColumn="1" w:firstRow="1" w:lastColumn="0" w:lastRow="0" w:noHBand="0" w:noVBand="1" w:val="04A0"/>
        <w:tblBorders>
          <w:top w:val="single" w:sz="4" w:color="000000"/>
          <w:bottom w:val="single" w:sz="4" w:color="000000"/>
          <w:insideH w:val="single" w:sz="4" w:color="000000"/>
          <w:left w:val="none"/>
          <w:right w:val="none"/>
          <w:insideV w:val="none"/>
        </w:tblBorders>
      </w:tblPr>
      <w:tblGrid>
        <w:gridCol w:w="3009"/>
        <w:gridCol w:w="3009"/>
        <w:gridCol w:w="3009"/>
      </w:tblGrid>
      <w:tr>
        <w:tc>
          <w:tcPr>
            <w:tcW w:type="dxa" w:w="3009"/>
          </w:tcPr>
          <w:p>
            <w:pPr>
              <w:jc w:val="center"/>
            </w:pPr>
            <w:r/>
            <w:r>
              <w:rPr>
                <w:rFonts w:ascii="Times New Roman" w:hAnsi="Times New Roman"/>
                <w:b/>
                <w:sz w:val="20"/>
              </w:rPr>
              <w:t>Model</w:t>
            </w:r>
          </w:p>
        </w:tc>
        <w:tc>
          <w:tcPr>
            <w:tcW w:type="dxa" w:w="3009"/>
          </w:tcPr>
          <w:p>
            <w:pPr>
              <w:jc w:val="center"/>
            </w:pPr>
            <w:r/>
            <w:r>
              <w:rPr>
                <w:rFonts w:ascii="Times New Roman" w:hAnsi="Times New Roman"/>
                <w:b/>
                <w:sz w:val="20"/>
              </w:rPr>
              <w:t>Accuracy (mean +/- std)</w:t>
            </w:r>
          </w:p>
        </w:tc>
        <w:tc>
          <w:tcPr>
            <w:tcW w:type="dxa" w:w="3009"/>
          </w:tcPr>
          <w:p>
            <w:pPr>
              <w:jc w:val="center"/>
            </w:pPr>
            <w:r/>
            <w:r>
              <w:rPr>
                <w:rFonts w:ascii="Times New Roman" w:hAnsi="Times New Roman"/>
                <w:b/>
                <w:sz w:val="20"/>
              </w:rPr>
              <w:t>F1 (mean +/- std)</w:t>
            </w:r>
          </w:p>
        </w:tc>
      </w:tr>
      <w:tr>
        <w:tc>
          <w:tcPr>
            <w:tcW w:type="dxa" w:w="3009"/>
          </w:tcPr>
          <w:p>
            <w:pPr>
              <w:jc w:val="center"/>
            </w:pPr>
            <w:r/>
            <w:r>
              <w:rPr>
                <w:rFonts w:ascii="Times New Roman" w:hAnsi="Times New Roman"/>
                <w:sz w:val="20"/>
              </w:rPr>
              <w:t>Random Forest</w:t>
            </w:r>
          </w:p>
        </w:tc>
        <w:tc>
          <w:tcPr>
            <w:tcW w:type="dxa" w:w="3009"/>
          </w:tcPr>
          <w:p>
            <w:pPr>
              <w:jc w:val="center"/>
            </w:pPr>
            <w:r/>
            <w:r>
              <w:rPr>
                <w:rFonts w:ascii="Times New Roman" w:hAnsi="Times New Roman"/>
                <w:sz w:val="20"/>
              </w:rPr>
              <w:t>0.9825 +/- 0.0065</w:t>
            </w:r>
          </w:p>
        </w:tc>
        <w:tc>
          <w:tcPr>
            <w:tcW w:type="dxa" w:w="3009"/>
          </w:tcPr>
          <w:p>
            <w:pPr>
              <w:jc w:val="center"/>
            </w:pPr>
            <w:r/>
            <w:r>
              <w:rPr>
                <w:rFonts w:ascii="Times New Roman" w:hAnsi="Times New Roman"/>
                <w:sz w:val="20"/>
              </w:rPr>
              <w:t>0.9825 +/- 0.0065</w:t>
            </w:r>
          </w:p>
        </w:tc>
      </w:tr>
      <w:tr>
        <w:tc>
          <w:tcPr>
            <w:tcW w:type="dxa" w:w="3009"/>
          </w:tcPr>
          <w:p>
            <w:pPr>
              <w:jc w:val="center"/>
            </w:pPr>
            <w:r/>
            <w:r>
              <w:rPr>
                <w:rFonts w:ascii="Times New Roman" w:hAnsi="Times New Roman"/>
                <w:sz w:val="20"/>
              </w:rPr>
              <w:t>Gradient Boosting</w:t>
            </w:r>
          </w:p>
        </w:tc>
        <w:tc>
          <w:tcPr>
            <w:tcW w:type="dxa" w:w="3009"/>
          </w:tcPr>
          <w:p>
            <w:pPr>
              <w:jc w:val="center"/>
            </w:pPr>
            <w:r/>
            <w:r>
              <w:rPr>
                <w:rFonts w:ascii="Times New Roman" w:hAnsi="Times New Roman"/>
                <w:sz w:val="20"/>
              </w:rPr>
              <w:t>0.9690 +/- 0.0077</w:t>
            </w:r>
          </w:p>
        </w:tc>
        <w:tc>
          <w:tcPr>
            <w:tcW w:type="dxa" w:w="3009"/>
          </w:tcPr>
          <w:p>
            <w:pPr>
              <w:jc w:val="center"/>
            </w:pPr>
            <w:r/>
            <w:r>
              <w:rPr>
                <w:rFonts w:ascii="Times New Roman" w:hAnsi="Times New Roman"/>
                <w:sz w:val="20"/>
              </w:rPr>
              <w:t>0.9690 +/- 0.0077</w:t>
            </w:r>
          </w:p>
        </w:tc>
      </w:tr>
      <w:tr>
        <w:tc>
          <w:tcPr>
            <w:tcW w:type="dxa" w:w="3009"/>
          </w:tcPr>
          <w:p>
            <w:pPr>
              <w:jc w:val="center"/>
            </w:pPr>
            <w:r/>
            <w:r>
              <w:rPr>
                <w:rFonts w:ascii="Times New Roman" w:hAnsi="Times New Roman"/>
                <w:sz w:val="20"/>
              </w:rPr>
              <w:t>Deep Neural Network</w:t>
            </w:r>
          </w:p>
        </w:tc>
        <w:tc>
          <w:tcPr>
            <w:tcW w:type="dxa" w:w="3009"/>
          </w:tcPr>
          <w:p>
            <w:pPr>
              <w:jc w:val="center"/>
            </w:pPr>
            <w:r/>
            <w:r>
              <w:rPr>
                <w:rFonts w:ascii="Times New Roman" w:hAnsi="Times New Roman"/>
                <w:sz w:val="20"/>
              </w:rPr>
              <w:t>0.9895 +/- 0.0053</w:t>
            </w:r>
          </w:p>
        </w:tc>
        <w:tc>
          <w:tcPr>
            <w:tcW w:type="dxa" w:w="3009"/>
          </w:tcPr>
          <w:p>
            <w:pPr>
              <w:jc w:val="center"/>
            </w:pPr>
            <w:r/>
            <w:r>
              <w:rPr>
                <w:rFonts w:ascii="Times New Roman" w:hAnsi="Times New Roman"/>
                <w:sz w:val="20"/>
              </w:rPr>
              <w:t>0.9895 +/- 0.0053</w:t>
            </w:r>
          </w:p>
        </w:tc>
      </w:tr>
    </w:tbl>
    <w:p/>
    <w:p>
      <w:pPr>
        <w:spacing w:line="480" w:lineRule="auto"/>
      </w:pPr>
      <w:r>
        <w:rPr>
          <w:rFonts w:ascii="Times New Roman" w:hAnsi="Times New Roman"/>
          <w:b/>
          <w:sz w:val="22"/>
        </w:rPr>
        <w:t>Table 3. Damage state definitions.</w:t>
      </w:r>
    </w:p>
    <w:tbl>
      <w:tblPr>
        <w:tblStyle w:val="TableGrid"/>
        <w:tblW w:type="auto" w:w="0"/>
        <w:tblLook w:firstColumn="1" w:firstRow="1" w:lastColumn="0" w:lastRow="0" w:noHBand="0" w:noVBand="1" w:val="04A0"/>
        <w:tblBorders>
          <w:top w:val="single" w:sz="4" w:color="000000"/>
          <w:bottom w:val="single" w:sz="4" w:color="000000"/>
          <w:insideH w:val="single" w:sz="4" w:color="000000"/>
          <w:left w:val="none"/>
          <w:right w:val="none"/>
          <w:insideV w:val="none"/>
        </w:tblBorders>
      </w:tblPr>
      <w:tblGrid>
        <w:gridCol w:w="3009"/>
        <w:gridCol w:w="3009"/>
        <w:gridCol w:w="3009"/>
      </w:tblGrid>
      <w:tr>
        <w:tc>
          <w:tcPr>
            <w:tcW w:type="dxa" w:w="3009"/>
          </w:tcPr>
          <w:p>
            <w:pPr>
              <w:jc w:val="center"/>
            </w:pPr>
            <w:r/>
            <w:r>
              <w:rPr>
                <w:rFonts w:ascii="Times New Roman" w:hAnsi="Times New Roman"/>
                <w:b/>
                <w:sz w:val="20"/>
              </w:rPr>
              <w:t>State</w:t>
            </w:r>
          </w:p>
        </w:tc>
        <w:tc>
          <w:tcPr>
            <w:tcW w:type="dxa" w:w="3009"/>
          </w:tcPr>
          <w:p>
            <w:pPr>
              <w:jc w:val="center"/>
            </w:pPr>
            <w:r/>
            <w:r>
              <w:rPr>
                <w:rFonts w:ascii="Times New Roman" w:hAnsi="Times New Roman"/>
                <w:b/>
                <w:sz w:val="20"/>
              </w:rPr>
              <w:t>Label</w:t>
            </w:r>
          </w:p>
        </w:tc>
        <w:tc>
          <w:tcPr>
            <w:tcW w:type="dxa" w:w="3009"/>
          </w:tcPr>
          <w:p>
            <w:pPr>
              <w:jc w:val="center"/>
            </w:pPr>
            <w:r/>
            <w:r>
              <w:rPr>
                <w:rFonts w:ascii="Times New Roman" w:hAnsi="Times New Roman"/>
                <w:b/>
                <w:sz w:val="20"/>
              </w:rPr>
              <w:t>Description</w:t>
            </w:r>
          </w:p>
        </w:tc>
      </w:tr>
      <w:tr>
        <w:tc>
          <w:tcPr>
            <w:tcW w:type="dxa" w:w="3009"/>
          </w:tcPr>
          <w:p>
            <w:pPr>
              <w:jc w:val="center"/>
            </w:pPr>
            <w:r/>
            <w:r>
              <w:rPr>
                <w:rFonts w:ascii="Times New Roman" w:hAnsi="Times New Roman"/>
                <w:sz w:val="20"/>
              </w:rPr>
              <w:t>None</w:t>
            </w:r>
          </w:p>
        </w:tc>
        <w:tc>
          <w:tcPr>
            <w:tcW w:type="dxa" w:w="3009"/>
          </w:tcPr>
          <w:p>
            <w:pPr>
              <w:jc w:val="center"/>
            </w:pPr>
            <w:r/>
            <w:r>
              <w:rPr>
                <w:rFonts w:ascii="Times New Roman" w:hAnsi="Times New Roman"/>
                <w:sz w:val="20"/>
              </w:rPr>
              <w:t>0</w:t>
            </w:r>
          </w:p>
        </w:tc>
        <w:tc>
          <w:tcPr>
            <w:tcW w:type="dxa" w:w="3009"/>
          </w:tcPr>
          <w:p>
            <w:pPr>
              <w:jc w:val="center"/>
            </w:pPr>
            <w:r/>
            <w:r>
              <w:rPr>
                <w:rFonts w:ascii="Times New Roman" w:hAnsi="Times New Roman"/>
                <w:sz w:val="20"/>
              </w:rPr>
              <w:t>No visible damage</w:t>
            </w:r>
          </w:p>
        </w:tc>
      </w:tr>
      <w:tr>
        <w:tc>
          <w:tcPr>
            <w:tcW w:type="dxa" w:w="3009"/>
          </w:tcPr>
          <w:p>
            <w:pPr>
              <w:jc w:val="center"/>
            </w:pPr>
            <w:r/>
            <w:r>
              <w:rPr>
                <w:rFonts w:ascii="Times New Roman" w:hAnsi="Times New Roman"/>
                <w:sz w:val="20"/>
              </w:rPr>
              <w:t>Slight</w:t>
            </w:r>
          </w:p>
        </w:tc>
        <w:tc>
          <w:tcPr>
            <w:tcW w:type="dxa" w:w="3009"/>
          </w:tcPr>
          <w:p>
            <w:pPr>
              <w:jc w:val="center"/>
            </w:pPr>
            <w:r/>
            <w:r>
              <w:rPr>
                <w:rFonts w:ascii="Times New Roman" w:hAnsi="Times New Roman"/>
                <w:sz w:val="20"/>
              </w:rPr>
              <w:t>1</w:t>
            </w:r>
          </w:p>
        </w:tc>
        <w:tc>
          <w:tcPr>
            <w:tcW w:type="dxa" w:w="3009"/>
          </w:tcPr>
          <w:p>
            <w:pPr>
              <w:jc w:val="center"/>
            </w:pPr>
            <w:r/>
            <w:r>
              <w:rPr>
                <w:rFonts w:ascii="Times New Roman" w:hAnsi="Times New Roman"/>
                <w:sz w:val="20"/>
              </w:rPr>
              <w:t>Hairline cracks</w:t>
            </w:r>
          </w:p>
        </w:tc>
      </w:tr>
      <w:tr>
        <w:tc>
          <w:tcPr>
            <w:tcW w:type="dxa" w:w="3009"/>
          </w:tcPr>
          <w:p>
            <w:pPr>
              <w:jc w:val="center"/>
            </w:pPr>
            <w:r/>
            <w:r>
              <w:rPr>
                <w:rFonts w:ascii="Times New Roman" w:hAnsi="Times New Roman"/>
                <w:sz w:val="20"/>
              </w:rPr>
              <w:t>Moderate</w:t>
            </w:r>
          </w:p>
        </w:tc>
        <w:tc>
          <w:tcPr>
            <w:tcW w:type="dxa" w:w="3009"/>
          </w:tcPr>
          <w:p>
            <w:pPr>
              <w:jc w:val="center"/>
            </w:pPr>
            <w:r/>
            <w:r>
              <w:rPr>
                <w:rFonts w:ascii="Times New Roman" w:hAnsi="Times New Roman"/>
                <w:sz w:val="20"/>
              </w:rPr>
              <w:t>2</w:t>
            </w:r>
          </w:p>
        </w:tc>
        <w:tc>
          <w:tcPr>
            <w:tcW w:type="dxa" w:w="3009"/>
          </w:tcPr>
          <w:p>
            <w:pPr>
              <w:jc w:val="center"/>
            </w:pPr>
            <w:r/>
            <w:r>
              <w:rPr>
                <w:rFonts w:ascii="Times New Roman" w:hAnsi="Times New Roman"/>
                <w:sz w:val="20"/>
              </w:rPr>
              <w:t>Spalling, visible cracks</w:t>
            </w:r>
          </w:p>
        </w:tc>
      </w:tr>
      <w:tr>
        <w:tc>
          <w:tcPr>
            <w:tcW w:type="dxa" w:w="3009"/>
          </w:tcPr>
          <w:p>
            <w:pPr>
              <w:jc w:val="center"/>
            </w:pPr>
            <w:r/>
            <w:r>
              <w:rPr>
                <w:rFonts w:ascii="Times New Roman" w:hAnsi="Times New Roman"/>
                <w:sz w:val="20"/>
              </w:rPr>
              <w:t>Severe</w:t>
            </w:r>
          </w:p>
        </w:tc>
        <w:tc>
          <w:tcPr>
            <w:tcW w:type="dxa" w:w="3009"/>
          </w:tcPr>
          <w:p>
            <w:pPr>
              <w:jc w:val="center"/>
            </w:pPr>
            <w:r/>
            <w:r>
              <w:rPr>
                <w:rFonts w:ascii="Times New Roman" w:hAnsi="Times New Roman"/>
                <w:sz w:val="20"/>
              </w:rPr>
              <w:t>3</w:t>
            </w:r>
          </w:p>
        </w:tc>
        <w:tc>
          <w:tcPr>
            <w:tcW w:type="dxa" w:w="3009"/>
          </w:tcPr>
          <w:p>
            <w:pPr>
              <w:jc w:val="center"/>
            </w:pPr>
            <w:r/>
            <w:r>
              <w:rPr>
                <w:rFonts w:ascii="Times New Roman" w:hAnsi="Times New Roman"/>
                <w:sz w:val="20"/>
              </w:rPr>
              <w:t>Structural failure risk</w:t>
            </w:r>
          </w:p>
        </w:tc>
      </w:tr>
    </w:tbl>
    <w:p/>
    <w:p>
      <w:pPr>
        <w:spacing w:line="480" w:lineRule="auto"/>
        <w:jc w:val="center"/>
      </w:pPr>
      <w:r>
        <w:drawing>
          <wp:inline xmlns:a="http://schemas.openxmlformats.org/drawingml/2006/main" xmlns:pic="http://schemas.openxmlformats.org/drawingml/2006/picture">
            <wp:extent cx="5029200" cy="1819373"/>
            <wp:docPr id="1" name="Picture 1"/>
            <wp:cNvGraphicFramePr>
              <a:graphicFrameLocks noChangeAspect="1"/>
            </wp:cNvGraphicFramePr>
            <a:graphic>
              <a:graphicData uri="http://schemas.openxmlformats.org/drawingml/2006/picture">
                <pic:pic>
                  <pic:nvPicPr>
                    <pic:cNvPr id="0" name="fig_1_confusion_matrices.png"/>
                    <pic:cNvPicPr/>
                  </pic:nvPicPr>
                  <pic:blipFill>
                    <a:blip r:embed="rId9"/>
                    <a:stretch>
                      <a:fillRect/>
                    </a:stretch>
                  </pic:blipFill>
                  <pic:spPr>
                    <a:xfrm>
                      <a:off x="0" y="0"/>
                      <a:ext cx="5029200" cy="1819373"/>
                    </a:xfrm>
                    <a:prstGeom prst="rect"/>
                  </pic:spPr>
                </pic:pic>
              </a:graphicData>
            </a:graphic>
          </wp:inline>
        </w:drawing>
      </w:r>
    </w:p>
    <w:p>
      <w:pPr>
        <w:spacing w:line="480" w:lineRule="auto"/>
      </w:pPr>
      <w:r>
        <w:rPr>
          <w:rFonts w:ascii="Times New Roman" w:hAnsi="Times New Roman"/>
          <w:sz w:val="24"/>
        </w:rPr>
        <w:t>Fig. 1. Confusion matrices for the three classification models.</w:t>
      </w:r>
    </w:p>
    <w:p>
      <w:pPr>
        <w:spacing w:line="480" w:lineRule="auto"/>
        <w:jc w:val="center"/>
      </w:pPr>
      <w:r>
        <w:drawing>
          <wp:inline xmlns:a="http://schemas.openxmlformats.org/drawingml/2006/main" xmlns:pic="http://schemas.openxmlformats.org/drawingml/2006/picture">
            <wp:extent cx="5029200" cy="6466717"/>
            <wp:docPr id="2" name="Picture 2"/>
            <wp:cNvGraphicFramePr>
              <a:graphicFrameLocks noChangeAspect="1"/>
            </wp:cNvGraphicFramePr>
            <a:graphic>
              <a:graphicData uri="http://schemas.openxmlformats.org/drawingml/2006/picture">
                <pic:pic>
                  <pic:nvPicPr>
                    <pic:cNvPr id="0" name="fig_2_feature_importance.png"/>
                    <pic:cNvPicPr/>
                  </pic:nvPicPr>
                  <pic:blipFill>
                    <a:blip r:embed="rId10"/>
                    <a:stretch>
                      <a:fillRect/>
                    </a:stretch>
                  </pic:blipFill>
                  <pic:spPr>
                    <a:xfrm>
                      <a:off x="0" y="0"/>
                      <a:ext cx="5029200" cy="6466717"/>
                    </a:xfrm>
                    <a:prstGeom prst="rect"/>
                  </pic:spPr>
                </pic:pic>
              </a:graphicData>
            </a:graphic>
          </wp:inline>
        </w:drawing>
      </w:r>
    </w:p>
    <w:p>
      <w:pPr>
        <w:spacing w:line="480" w:lineRule="auto"/>
      </w:pPr>
      <w:r>
        <w:rPr>
          <w:rFonts w:ascii="Times New Roman" w:hAnsi="Times New Roman"/>
          <w:sz w:val="24"/>
        </w:rPr>
        <w:t>Fig. 2. Random Forest feature importance for damage state classification.</w:t>
      </w:r>
    </w:p>
    <w:p>
      <w:pPr>
        <w:spacing w:line="480" w:lineRule="auto"/>
        <w:jc w:val="center"/>
      </w:pPr>
      <w:r>
        <w:drawing>
          <wp:inline xmlns:a="http://schemas.openxmlformats.org/drawingml/2006/main" xmlns:pic="http://schemas.openxmlformats.org/drawingml/2006/picture">
            <wp:extent cx="5029200" cy="3261674"/>
            <wp:docPr id="3" name="Picture 3"/>
            <wp:cNvGraphicFramePr>
              <a:graphicFrameLocks noChangeAspect="1"/>
            </wp:cNvGraphicFramePr>
            <a:graphic>
              <a:graphicData uri="http://schemas.openxmlformats.org/drawingml/2006/picture">
                <pic:pic>
                  <pic:nvPicPr>
                    <pic:cNvPr id="0" name="fig_3_cv_boxplot.png"/>
                    <pic:cNvPicPr/>
                  </pic:nvPicPr>
                  <pic:blipFill>
                    <a:blip r:embed="rId11"/>
                    <a:stretch>
                      <a:fillRect/>
                    </a:stretch>
                  </pic:blipFill>
                  <pic:spPr>
                    <a:xfrm>
                      <a:off x="0" y="0"/>
                      <a:ext cx="5029200" cy="3261674"/>
                    </a:xfrm>
                    <a:prstGeom prst="rect"/>
                  </pic:spPr>
                </pic:pic>
              </a:graphicData>
            </a:graphic>
          </wp:inline>
        </w:drawing>
      </w:r>
    </w:p>
    <w:p>
      <w:pPr>
        <w:spacing w:line="480" w:lineRule="auto"/>
      </w:pPr>
      <w:r>
        <w:rPr>
          <w:rFonts w:ascii="Times New Roman" w:hAnsi="Times New Roman"/>
          <w:sz w:val="24"/>
        </w:rPr>
        <w:t>Fig. 3. Box plots of 5-fold cross-validation metrics.</w:t>
      </w:r>
    </w:p>
    <w:p>
      <w:pPr>
        <w:spacing w:line="480" w:lineRule="auto"/>
        <w:jc w:val="center"/>
      </w:pPr>
      <w:r>
        <w:drawing>
          <wp:inline xmlns:a="http://schemas.openxmlformats.org/drawingml/2006/main" xmlns:pic="http://schemas.openxmlformats.org/drawingml/2006/picture">
            <wp:extent cx="5029200" cy="4054908"/>
            <wp:docPr id="4" name="Picture 4"/>
            <wp:cNvGraphicFramePr>
              <a:graphicFrameLocks noChangeAspect="1"/>
            </wp:cNvGraphicFramePr>
            <a:graphic>
              <a:graphicData uri="http://schemas.openxmlformats.org/drawingml/2006/picture">
                <pic:pic>
                  <pic:nvPicPr>
                    <pic:cNvPr id="0" name="fig_4_damage_distribution.png"/>
                    <pic:cNvPicPr/>
                  </pic:nvPicPr>
                  <pic:blipFill>
                    <a:blip r:embed="rId12"/>
                    <a:stretch>
                      <a:fillRect/>
                    </a:stretch>
                  </pic:blipFill>
                  <pic:spPr>
                    <a:xfrm>
                      <a:off x="0" y="0"/>
                      <a:ext cx="5029200" cy="4054908"/>
                    </a:xfrm>
                    <a:prstGeom prst="rect"/>
                  </pic:spPr>
                </pic:pic>
              </a:graphicData>
            </a:graphic>
          </wp:inline>
        </w:drawing>
      </w:r>
    </w:p>
    <w:p>
      <w:pPr>
        <w:spacing w:line="480" w:lineRule="auto"/>
      </w:pPr>
      <w:r>
        <w:rPr>
          <w:rFonts w:ascii="Times New Roman" w:hAnsi="Times New Roman"/>
          <w:sz w:val="24"/>
        </w:rPr>
        <w:t>Fig. 4. Distribution of damage states in the dataset.</w:t>
      </w:r>
    </w:p>
    <w:p>
      <w:pPr>
        <w:spacing w:line="480" w:lineRule="auto"/>
        <w:jc w:val="center"/>
      </w:pPr>
      <w:r>
        <w:drawing>
          <wp:inline xmlns:a="http://schemas.openxmlformats.org/drawingml/2006/main" xmlns:pic="http://schemas.openxmlformats.org/drawingml/2006/picture">
            <wp:extent cx="5029200" cy="4054908"/>
            <wp:docPr id="5" name="Picture 5"/>
            <wp:cNvGraphicFramePr>
              <a:graphicFrameLocks noChangeAspect="1"/>
            </wp:cNvGraphicFramePr>
            <a:graphic>
              <a:graphicData uri="http://schemas.openxmlformats.org/drawingml/2006/picture">
                <pic:pic>
                  <pic:nvPicPr>
                    <pic:cNvPr id="0" name="fig_5_drift_scatter.png"/>
                    <pic:cNvPicPr/>
                  </pic:nvPicPr>
                  <pic:blipFill>
                    <a:blip r:embed="rId13"/>
                    <a:stretch>
                      <a:fillRect/>
                    </a:stretch>
                  </pic:blipFill>
                  <pic:spPr>
                    <a:xfrm>
                      <a:off x="0" y="0"/>
                      <a:ext cx="5029200" cy="4054908"/>
                    </a:xfrm>
                    <a:prstGeom prst="rect"/>
                  </pic:spPr>
                </pic:pic>
              </a:graphicData>
            </a:graphic>
          </wp:inline>
        </w:drawing>
      </w:r>
    </w:p>
    <w:p>
      <w:pPr>
        <w:spacing w:line="480" w:lineRule="auto"/>
      </w:pPr>
      <w:r>
        <w:rPr>
          <w:rFonts w:ascii="Times New Roman" w:hAnsi="Times New Roman"/>
          <w:sz w:val="24"/>
        </w:rPr>
        <w:t>Fig. 5. Inter-story drift scatter plot colored by damage state.</w:t>
      </w:r>
    </w:p>
    <w:p>
      <w:pPr>
        <w:spacing w:line="480" w:lineRule="auto"/>
        <w:jc w:val="center"/>
      </w:pPr>
      <w:r>
        <w:drawing>
          <wp:inline xmlns:a="http://schemas.openxmlformats.org/drawingml/2006/main" xmlns:pic="http://schemas.openxmlformats.org/drawingml/2006/picture">
            <wp:extent cx="5029200" cy="4054908"/>
            <wp:docPr id="6" name="Picture 6"/>
            <wp:cNvGraphicFramePr>
              <a:graphicFrameLocks noChangeAspect="1"/>
            </wp:cNvGraphicFramePr>
            <a:graphic>
              <a:graphicData uri="http://schemas.openxmlformats.org/drawingml/2006/picture">
                <pic:pic>
                  <pic:nvPicPr>
                    <pic:cNvPr id="0" name="fig_6_per_class_accuracy.png"/>
                    <pic:cNvPicPr/>
                  </pic:nvPicPr>
                  <pic:blipFill>
                    <a:blip r:embed="rId14"/>
                    <a:stretch>
                      <a:fillRect/>
                    </a:stretch>
                  </pic:blipFill>
                  <pic:spPr>
                    <a:xfrm>
                      <a:off x="0" y="0"/>
                      <a:ext cx="5029200" cy="4054908"/>
                    </a:xfrm>
                    <a:prstGeom prst="rect"/>
                  </pic:spPr>
                </pic:pic>
              </a:graphicData>
            </a:graphic>
          </wp:inline>
        </w:drawing>
      </w:r>
    </w:p>
    <w:p>
      <w:pPr>
        <w:spacing w:line="480" w:lineRule="auto"/>
      </w:pPr>
      <w:r>
        <w:rPr>
          <w:rFonts w:ascii="Times New Roman" w:hAnsi="Times New Roman"/>
          <w:sz w:val="24"/>
        </w:rPr>
        <w:t>Fig. 6. Per-class classification accuracy comparison.</w:t>
      </w:r>
    </w:p>
    <w:p/>
    <w:p>
      <w:pPr>
        <w:spacing w:line="480" w:lineRule="auto"/>
        <w:jc w:val="left"/>
      </w:pPr>
      <w:r>
        <w:rPr>
          <w:rFonts w:ascii="Times New Roman" w:hAnsi="Times New Roman"/>
          <w:b/>
          <w:sz w:val="24"/>
        </w:rPr>
        <w:t>DATA AVAILABILITY STATEMENT</w:t>
      </w:r>
    </w:p>
    <w:p>
      <w:pPr>
        <w:spacing w:line="480" w:lineRule="auto"/>
      </w:pPr>
      <w:r>
        <w:rPr>
          <w:rFonts w:ascii="Times New Roman" w:hAnsi="Times New Roman"/>
          <w:sz w:val="24"/>
        </w:rPr>
        <w:t>Synthetic data used for demonstration. Real earthquake damage records can be obtained from PEER NGA-West2 database.</w:t>
      </w:r>
    </w:p>
    <w:p>
      <w:r>
        <w:br w:type="page"/>
      </w:r>
    </w:p>
    <w:p>
      <w:pPr>
        <w:spacing w:line="480" w:lineRule="auto"/>
        <w:jc w:val="left"/>
      </w:pPr>
      <w:r>
        <w:rPr>
          <w:rFonts w:ascii="Times New Roman" w:hAnsi="Times New Roman"/>
          <w:b/>
          <w:sz w:val="24"/>
        </w:rPr>
        <w:t>REFERENCES</w:t>
      </w:r>
    </w:p>
    <w:p>
      <w:pPr>
        <w:spacing w:line="480" w:lineRule="auto"/>
      </w:pPr>
      <w:r>
        <w:rPr>
          <w:rFonts w:ascii="Times New Roman" w:hAnsi="Times New Roman"/>
          <w:sz w:val="24"/>
        </w:rPr>
        <w:t>[1] Y. Xie, J. Zhang, R. DesRoches, Damage detection using deep learning in seismic response data, Earthquake Eng. Struct. Dyn. 48 (14) (2019) 1736-1752. https://doi.org/10.1002/eqe.3228</w:t>
      </w:r>
    </w:p>
    <w:p>
      <w:pPr>
        <w:spacing w:line="480" w:lineRule="auto"/>
      </w:pPr>
      <w:r>
        <w:rPr>
          <w:rFonts w:ascii="Times New Roman" w:hAnsi="Times New Roman"/>
          <w:sz w:val="24"/>
        </w:rPr>
        <w:t>[2] K. Mangalathu, H. Jeon, S.V. Deshmukh, H.V. Burton, Classifying earthquake damage to buildings using ML, Earthquake Spectra 36 (1) (2020) 183-208. https://doi.org/10.1177/8755293019878137</w:t>
      </w:r>
    </w:p>
    <w:p>
      <w:pPr>
        <w:spacing w:line="480" w:lineRule="auto"/>
      </w:pPr>
      <w:r>
        <w:rPr>
          <w:rFonts w:ascii="Times New Roman" w:hAnsi="Times New Roman"/>
          <w:sz w:val="24"/>
        </w:rPr>
        <w:t>[3] X. Kong, C.-S. Cai, J. Hu, Real-time SHM of large-scale structures using ML, Struct. Control Health Monit. 26 (11) (2019) e2430. https://doi.org/10.1002/stc.2430</w:t>
      </w:r>
    </w:p>
    <w:p>
      <w:pPr>
        <w:spacing w:line="480" w:lineRule="auto"/>
      </w:pPr>
      <w:r>
        <w:rPr>
          <w:rFonts w:ascii="Times New Roman" w:hAnsi="Times New Roman"/>
          <w:sz w:val="24"/>
        </w:rPr>
        <w:t>[4] H. Oh, S. Shin, Damage detection using experimental modal parameters, J. Struct. Eng. 146 (5) (2020) 04020062. https://doi.org/10.1061/(ASCE)ST.1943-541X.0002575</w:t>
      </w:r>
    </w:p>
    <w:p>
      <w:pPr>
        <w:spacing w:line="480" w:lineRule="auto"/>
      </w:pPr>
      <w:r>
        <w:rPr>
          <w:rFonts w:ascii="Times New Roman" w:hAnsi="Times New Roman"/>
          <w:sz w:val="24"/>
        </w:rPr>
        <w:t>[5] M. Flah, I. Nunez, W. Ben Chaabene, Damage detection using ML: A survey, Eng. Struct. 246 (2021) 113024. https://doi.org/10.1016/j.engstruct.2021.113024</w:t>
      </w:r>
    </w:p>
    <w:p>
      <w:pPr>
        <w:spacing w:line="480" w:lineRule="auto"/>
      </w:pPr>
      <w:r>
        <w:rPr>
          <w:rFonts w:ascii="Times New Roman" w:hAnsi="Times New Roman"/>
          <w:sz w:val="24"/>
        </w:rPr>
        <w:t>[6] S. Mangalathu, S.-H. Hwang, J.-S. Jeon, ML for RC column failure mode identification, Eng. Struct. 207 (2020) 110263. https://doi.org/10.1016/j.engstruct.2020.110263</w:t>
      </w:r>
    </w:p>
    <w:p>
      <w:pPr>
        <w:spacing w:line="480" w:lineRule="auto"/>
      </w:pPr>
      <w:r>
        <w:rPr>
          <w:rFonts w:ascii="Times New Roman" w:hAnsi="Times New Roman"/>
          <w:sz w:val="24"/>
        </w:rPr>
        <w:t>[7] J. Park, P. Towashiraporn, Rapid seismic damage assessment of railway bridges, Earthquake Eng. Struct. Dyn. 43 (11) (2014) 1603-1620. https://doi.org/10.1002/eqe.2413</w:t>
      </w:r>
    </w:p>
    <w:p>
      <w:pPr>
        <w:spacing w:line="480" w:lineRule="auto"/>
      </w:pPr>
      <w:r>
        <w:rPr>
          <w:rFonts w:ascii="Times New Roman" w:hAnsi="Times New Roman"/>
          <w:sz w:val="24"/>
        </w:rPr>
        <w:t>[8] G. Tsinidis, E. Rovithis, K. Pitilakis, Seismic response of box-type tunnels, Eng. Struct. 173 (2018) 218-238. https://doi.org/10.1016/j.engstruct.2018.06.098</w:t>
      </w:r>
    </w:p>
    <w:p>
      <w:pPr>
        <w:spacing w:line="480" w:lineRule="auto"/>
      </w:pPr>
      <w:r>
        <w:rPr>
          <w:rFonts w:ascii="Times New Roman" w:hAnsi="Times New Roman"/>
          <w:sz w:val="24"/>
        </w:rPr>
        <w:t>[9] Z. Zhang, H. Pan, X. Wang, Z. Lin, ML for real-time building damage assessment, Comput.-Aided Civ. Infrastruct. Eng. 35 (6) (2020) 631-645. https://doi.org/10.1111/mice.12530</w:t>
      </w:r>
    </w:p>
    <w:p>
      <w:pPr>
        <w:spacing w:line="480" w:lineRule="auto"/>
      </w:pPr>
      <w:r>
        <w:rPr>
          <w:rFonts w:ascii="Times New Roman" w:hAnsi="Times New Roman"/>
          <w:sz w:val="24"/>
        </w:rPr>
        <w:t>[10] D. Vamvatsikos, C.A. Cornell, Incremental dynamic analysis, Earthquake Eng. Struct. Dyn. 31 (3) (2002) 491-514. https://doi.org/10.1002/eqe.141</w:t>
      </w:r>
    </w:p>
    <w:p>
      <w:pPr>
        <w:spacing w:line="480" w:lineRule="auto"/>
      </w:pPr>
      <w:r>
        <w:rPr>
          <w:rFonts w:ascii="Times New Roman" w:hAnsi="Times New Roman"/>
          <w:sz w:val="24"/>
        </w:rPr>
        <w:t>[11] M. Sajedi, X. Liang, Uncertainty-assisted deep vision for building damage assessment, Struct. Control Health Monit. 27 (1) (2020) e2444. https://doi.org/10.1002/stc.2444</w:t>
      </w:r>
    </w:p>
    <w:p>
      <w:pPr>
        <w:spacing w:line="480" w:lineRule="auto"/>
      </w:pPr>
      <w:r>
        <w:rPr>
          <w:rFonts w:ascii="Times New Roman" w:hAnsi="Times New Roman"/>
          <w:sz w:val="24"/>
        </w:rPr>
        <w:t>[12] Y. Pan, L. Zhang, Roles of AI in construction engineering, Autom. Constr. 140 (2022) 104362. https://doi.org/10.1016/j.autcon.2022.104362</w:t>
      </w:r>
    </w:p>
    <w:p>
      <w:pPr>
        <w:spacing w:line="480" w:lineRule="auto"/>
      </w:pPr>
      <w:r>
        <w:rPr>
          <w:rFonts w:ascii="Times New Roman" w:hAnsi="Times New Roman"/>
          <w:sz w:val="24"/>
        </w:rPr>
        <w:t>[13] S. Narazaki, V. Hoskere, T.A. Hoang, B.F. Spencer, Vision-based damage detection, Struct. Health Monit. 20 (4) (2021) 1841-1867. https://doi.org/10.1177/1475921720965445</w:t>
      </w:r>
    </w:p>
    <w:p>
      <w:pPr>
        <w:spacing w:line="480" w:lineRule="auto"/>
      </w:pPr>
      <w:r>
        <w:rPr>
          <w:rFonts w:ascii="Times New Roman" w:hAnsi="Times New Roman"/>
          <w:sz w:val="24"/>
        </w:rPr>
        <w:t>[14] R. Ghimire, C. Huang, P. Cirak, Post-earthquake damage assessment with satellite imagery and ML, Nat. Hazards Earth Syst. Sci. 22 (4) (2022) 1365-1387. https://doi.org/10.5194/nhess-22-1365-2022</w:t>
      </w:r>
    </w:p>
    <w:p>
      <w:pPr>
        <w:spacing w:line="480" w:lineRule="auto"/>
      </w:pPr>
      <w:r>
        <w:rPr>
          <w:rFonts w:ascii="Times New Roman" w:hAnsi="Times New Roman"/>
          <w:sz w:val="24"/>
        </w:rPr>
        <w:t>[15] J.P. Moehle, Seismic Design of RC Buildings, McGraw-Hill, New York, 2015.</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