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48"/>
          <w:szCs w:val="48"/>
        </w:rPr>
        <w:t xml:space="preserve">VEILRUM</w:t>
      </w:r>
    </w:p>
    <w:p>
      <w:pPr>
        <w:spacing w:after="100"/>
        <w:jc w:val="center"/>
      </w:pPr>
      <w:r>
        <w:rPr>
          <w:rFonts w:ascii="Arial" w:cs="Arial" w:eastAsia="Arial" w:hAnsi="Arial"/>
          <w:color w:val="3A7CA5"/>
          <w:sz w:val="28"/>
          <w:szCs w:val="28"/>
        </w:rPr>
        <w:t xml:space="preserve">CONSENT PHILOSOPHY &amp; FRAMEWORK</w:t>
      </w:r>
    </w:p>
    <w:p>
      <w:pPr>
        <w:pBdr>
          <w:bottom w:val="single" w:color="CCCCCC" w:sz="2" w:space="4"/>
        </w:pBdr>
        <w:spacing w:before="200" w:after="200"/>
      </w:pPr>
    </w:p>
    <w:p>
      <w:pPr>
        <w:spacing w:after="80"/>
        <w:jc w:val="center"/>
      </w:pPr>
      <w:r>
        <w:rPr>
          <w:rFonts w:ascii="Arial" w:cs="Arial" w:eastAsia="Arial" w:hAnsi="Arial"/>
          <w:i/>
          <w:iCs/>
          <w:color w:val="1B3A5C"/>
          <w:sz w:val="24"/>
          <w:szCs w:val="24"/>
        </w:rPr>
        <w:t xml:space="preserve">“합의되지 않은 것만이 악하다”</w:t>
      </w:r>
    </w:p>
    <w:p>
      <w:pPr>
        <w:spacing w:after="400"/>
        <w:jc w:val="center"/>
      </w:pPr>
      <w:r>
        <w:rPr>
          <w:rFonts w:ascii="Arial" w:cs="Arial" w:eastAsia="Arial" w:hAnsi="Arial"/>
          <w:i/>
          <w:iCs/>
          <w:color w:val="555555"/>
          <w:sz w:val="20"/>
          <w:szCs w:val="20"/>
        </w:rPr>
        <w:t xml:space="preserve">"Only the unconsented is evil."</w:t>
      </w:r>
    </w:p>
    <w:p>
      <w:pPr>
        <w:spacing w:after="60"/>
      </w:pPr>
    </w:p>
    <w:p>
      <w:pPr>
        <w:jc w:val="center"/>
      </w:pPr>
      <w:r>
        <w:rPr>
          <w:rFonts w:ascii="Arial" w:cs="Arial" w:eastAsia="Arial" w:hAnsi="Arial"/>
          <w:color w:val="888888"/>
          <w:sz w:val="18"/>
          <w:szCs w:val="18"/>
        </w:rPr>
        <w:t xml:space="preserve">Document No: VR-CPF-001</w:t>
      </w:r>
    </w:p>
    <w:p>
      <w:pPr>
        <w:jc w:val="center"/>
      </w:pPr>
      <w:r>
        <w:rPr>
          <w:rFonts w:ascii="Arial" w:cs="Arial" w:eastAsia="Arial" w:hAnsi="Arial"/>
          <w:color w:val="888888"/>
          <w:sz w:val="18"/>
          <w:szCs w:val="18"/>
        </w:rPr>
        <w:t xml:space="preserve">Date: 2026-02-16</w:t>
      </w:r>
    </w:p>
    <w:p>
      <w:pPr>
        <w:jc w:val="center"/>
      </w:pPr>
      <w:r>
        <w:rPr>
          <w:rFonts w:ascii="Arial" w:cs="Arial" w:eastAsia="Arial" w:hAnsi="Arial"/>
          <w:color w:val="888888"/>
          <w:sz w:val="18"/>
          <w:szCs w:val="18"/>
        </w:rPr>
        <w:t xml:space="preserve">Classification: Veilrum Confidential</w:t>
      </w:r>
    </w:p>
    <w:p>
      <w:pPr>
        <w:spacing w:after="60"/>
      </w:pPr>
    </w:p>
    <w:p>
      <w:pPr>
        <w:spacing w:before="200" w:after="100"/>
        <w:jc w:val="center"/>
      </w:pPr>
      <w:r>
        <w:rPr>
          <w:rFonts w:ascii="Arial" w:cs="Arial" w:eastAsia="Arial" w:hAnsi="Arial"/>
          <w:b/>
          <w:bCs/>
          <w:color w:val="1B3A5C"/>
          <w:sz w:val="20"/>
          <w:szCs w:val="20"/>
        </w:rPr>
        <w:t xml:space="preserve">Contributors</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Approved by</w:t>
            </w:r>
          </w:p>
        </w:tc>
        <w:tc>
          <w:tcPr>
            <w:tcW w:type="dxa" w:w="3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Ax Mercer (AX Holdings)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CEO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Beth Birkin</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COO</w:t>
            </w:r>
          </w:p>
        </w:tc>
        <w:tc>
          <w:tcPr>
            <w:tcW w:type="dxa" w:w="3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Sebastian Cross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CSO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David Nakamura</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CTO</w:t>
            </w:r>
          </w:p>
        </w:tc>
        <w:tc>
          <w:tcPr>
            <w:tcW w:type="dxa" w:w="3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Kai Andersen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CMO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Leo Vargas</w:t>
            </w:r>
          </w:p>
        </w:tc>
      </w:tr>
    </w:tbl>
    <w:p>
      <w:r>
        <w:br w:type="page"/>
      </w:r>
    </w:p>
    <w:p>
      <w:pPr>
        <w:pStyle w:val="Heading1"/>
        <w:spacing w:before="400" w:after="200"/>
      </w:pPr>
      <w:r>
        <w:rPr>
          <w:rFonts w:ascii="Arial" w:cs="Arial" w:eastAsia="Arial" w:hAnsi="Arial"/>
          <w:b/>
          <w:bCs/>
          <w:color w:val="1B3A5C"/>
          <w:sz w:val="32"/>
          <w:szCs w:val="32"/>
        </w:rPr>
        <w:t xml:space="preserve">1. Philosophical Foundation</w:t>
      </w:r>
    </w:p>
    <w:p>
      <w:pPr>
        <w:spacing w:after="120"/>
        <w:jc w:val="left"/>
      </w:pPr>
      <w:r>
        <w:rPr>
          <w:rFonts w:ascii="Arial" w:cs="Arial" w:eastAsia="Arial" w:hAnsi="Arial"/>
          <w:color w:val="2C2C2C"/>
          <w:sz w:val="20"/>
          <w:szCs w:val="20"/>
        </w:rPr>
        <w:t xml:space="preserve">This section establishes the core philosophical premise upon which the entire Veilrum platform is built. This premise was articulated by Ax Mercer and unanimously adopted by the Veilrum C-Level team as the foundational axiom of the company's ethical framework.</w:t>
      </w:r>
    </w:p>
    <w:p>
      <w:pPr>
        <w:pStyle w:val="Heading2"/>
        <w:spacing w:before="300" w:after="150"/>
      </w:pPr>
      <w:r>
        <w:rPr>
          <w:rFonts w:ascii="Arial" w:cs="Arial" w:eastAsia="Arial" w:hAnsi="Arial"/>
          <w:b/>
          <w:bCs/>
          <w:color w:val="3A7CA5"/>
          <w:sz w:val="26"/>
          <w:szCs w:val="26"/>
        </w:rPr>
        <w:t xml:space="preserve">1-1. The Core Thesis</w:t>
      </w:r>
    </w:p>
    <w:p>
      <w:pPr>
        <w:pBdr>
          <w:left w:val="single" w:color="3A7CA5" w:sz="6" w:space="8"/>
        </w:pBdr>
        <w:spacing w:before="120" w:after="120"/>
        <w:ind w:left="720" w:right="720"/>
      </w:pPr>
      <w:r>
        <w:rPr>
          <w:rFonts w:ascii="Arial" w:cs="Arial" w:eastAsia="Arial" w:hAnsi="Arial"/>
          <w:i/>
          <w:iCs/>
          <w:color w:val="1B3A5C"/>
          <w:sz w:val="22"/>
          <w:szCs w:val="22"/>
        </w:rPr>
        <w:t xml:space="preserve">세상에 악한 것은 없다. 다만 대상과 합의되지 않은 것만이 악할 뿐이다. 악함은 절대적이지 않다. 악함은 상대적이다.</w:t>
      </w:r>
    </w:p>
    <w:p>
      <w:pPr>
        <w:pBdr>
          <w:left w:val="single" w:color="3A7CA5" w:sz="6" w:space="8"/>
        </w:pBdr>
        <w:spacing w:before="120" w:after="120"/>
        <w:ind w:left="720" w:right="720"/>
      </w:pPr>
      <w:r>
        <w:rPr>
          <w:rFonts w:ascii="Arial" w:cs="Arial" w:eastAsia="Arial" w:hAnsi="Arial"/>
          <w:i/>
          <w:iCs/>
          <w:color w:val="1B3A5C"/>
          <w:sz w:val="22"/>
          <w:szCs w:val="22"/>
        </w:rPr>
        <w:t xml:space="preserve">"There is nothing inherently evil in the world. Only that which is unconsented with its subject is evil. Evil is not absolute. Evil is relative."</w:t>
      </w:r>
    </w:p>
    <w:p>
      <w:pPr>
        <w:spacing w:after="120"/>
        <w:jc w:val="left"/>
      </w:pPr>
      <w:r>
        <w:rPr>
          <w:rFonts w:ascii="Arial" w:cs="Arial" w:eastAsia="Arial" w:hAnsi="Arial"/>
          <w:color w:val="2C2C2C"/>
          <w:sz w:val="20"/>
          <w:szCs w:val="20"/>
        </w:rPr>
        <w:t xml:space="preserve">This thesis inverts the conventional approach to content ethics. Traditional platforms ask </w:t>
      </w:r>
      <w:r>
        <w:rPr>
          <w:rFonts w:ascii="Arial" w:cs="Arial" w:eastAsia="Arial" w:hAnsi="Arial"/>
          <w:i/>
          <w:iCs/>
          <w:color w:val="555555"/>
          <w:sz w:val="20"/>
          <w:szCs w:val="20"/>
        </w:rPr>
        <w:t xml:space="preserve">"Is this content morally acceptable?"</w:t>
      </w:r>
      <w:r>
        <w:rPr>
          <w:rFonts w:ascii="Arial" w:cs="Arial" w:eastAsia="Arial" w:hAnsi="Arial"/>
          <w:color w:val="2C2C2C"/>
          <w:sz w:val="20"/>
          <w:szCs w:val="20"/>
        </w:rPr>
        <w:t xml:space="preserve"> — a question that leads to endless subjective debate. Veilrum asks a different question: </w:t>
      </w:r>
      <w:r>
        <w:rPr>
          <w:rFonts w:ascii="Arial" w:cs="Arial" w:eastAsia="Arial" w:hAnsi="Arial"/>
          <w:i/>
          <w:iCs/>
          <w:color w:val="555555"/>
          <w:sz w:val="20"/>
          <w:szCs w:val="20"/>
        </w:rPr>
        <w:t xml:space="preserve">"Was there genuine consent?"</w:t>
      </w:r>
      <w:r>
        <w:rPr>
          <w:rFonts w:ascii="Arial" w:cs="Arial" w:eastAsia="Arial" w:hAnsi="Arial"/>
          <w:color w:val="2C2C2C"/>
          <w:sz w:val="20"/>
          <w:szCs w:val="20"/>
        </w:rPr>
        <w:t xml:space="preserve"> — a question that can be structurally verified.</w:t>
      </w:r>
    </w:p>
    <w:p>
      <w:pPr>
        <w:pStyle w:val="Heading2"/>
        <w:spacing w:before="300" w:after="150"/>
      </w:pPr>
      <w:r>
        <w:rPr>
          <w:rFonts w:ascii="Arial" w:cs="Arial" w:eastAsia="Arial" w:hAnsi="Arial"/>
          <w:b/>
          <w:bCs/>
          <w:color w:val="3A7CA5"/>
          <w:sz w:val="26"/>
          <w:szCs w:val="26"/>
        </w:rPr>
        <w:t xml:space="preserve">1-2. Business Implications</w:t>
      </w:r>
    </w:p>
    <w:p>
      <w:pPr>
        <w:spacing w:after="120"/>
        <w:jc w:val="left"/>
      </w:pPr>
      <w:r>
        <w:rPr>
          <w:rFonts w:ascii="Arial" w:cs="Arial" w:eastAsia="Arial" w:hAnsi="Arial"/>
          <w:b/>
          <w:bCs/>
          <w:color w:val="2C2C2C"/>
          <w:sz w:val="20"/>
          <w:szCs w:val="20"/>
        </w:rPr>
        <w:t xml:space="preserve">The essence of evil is not the content itself, but the absence of consent. </w:t>
      </w:r>
      <w:r>
        <w:rPr>
          <w:rFonts w:ascii="Arial" w:cs="Arial" w:eastAsia="Arial" w:hAnsi="Arial"/>
          <w:color w:val="2C2C2C"/>
          <w:sz w:val="20"/>
          <w:szCs w:val="20"/>
        </w:rPr>
        <w:t xml:space="preserve">A Level 5 sexually explicit content piece that is accessed through genuine, informed consent is not evil. A Level 2 mildly suggestive content piece that is shown without adequate consent can be evil. The variable is not intensity — it is the consent structure.</w:t>
      </w:r>
    </w:p>
    <w:p>
      <w:pPr>
        <w:spacing w:after="120"/>
        <w:jc w:val="left"/>
      </w:pPr>
      <w:r>
        <w:rPr>
          <w:rFonts w:ascii="Arial" w:cs="Arial" w:eastAsia="Arial" w:hAnsi="Arial"/>
          <w:color w:val="2C2C2C"/>
          <w:sz w:val="20"/>
          <w:szCs w:val="20"/>
        </w:rPr>
        <w:t xml:space="preserve">This redefines Veilrum's entire approach to content regulation. Channel-by-channel content level mapping is not a censorship guideline — it is a consent framework. TikTok content at Level 2–3 operates within the range of implicit social consent that the platform's user base has agreed to. The proprietary platform at Level 5 requires explicit, verified, informed consent from each user.</w:t>
      </w:r>
    </w:p>
    <w:p>
      <w:pPr>
        <w:pStyle w:val="Heading2"/>
        <w:spacing w:before="300" w:after="150"/>
      </w:pPr>
      <w:r>
        <w:rPr>
          <w:rFonts w:ascii="Arial" w:cs="Arial" w:eastAsia="Arial" w:hAnsi="Arial"/>
          <w:b/>
          <w:bCs/>
          <w:color w:val="3A7CA5"/>
          <w:sz w:val="26"/>
          <w:szCs w:val="26"/>
        </w:rPr>
        <w:t xml:space="preserve">1-3. The Completed Framework</w:t>
      </w:r>
    </w:p>
    <w:p>
      <w:pPr>
        <w:spacing w:after="120"/>
        <w:jc w:val="left"/>
      </w:pPr>
      <w:r>
        <w:rPr>
          <w:rFonts w:ascii="Arial" w:cs="Arial" w:eastAsia="Arial" w:hAnsi="Arial"/>
          <w:color w:val="2C2C2C"/>
          <w:sz w:val="20"/>
          <w:szCs w:val="20"/>
        </w:rPr>
        <w:t xml:space="preserve">The thesis alone invites a predictable critique: moral relativism. If consent is all that matters, then anything goes as long as both parties agree. The C-Level team, led by David Nakamura's structural analysis, pre-empted this critique by establishing the following:</w:t>
      </w:r>
    </w:p>
    <w:p>
      <w:pPr>
        <w:pBdr>
          <w:left w:val="single" w:color="3A7CA5" w:sz="6" w:space="8"/>
        </w:pBdr>
        <w:spacing w:before="120" w:after="120"/>
        <w:ind w:left="720" w:right="720"/>
      </w:pPr>
      <w:r>
        <w:rPr>
          <w:rFonts w:ascii="Arial" w:cs="Arial" w:eastAsia="Arial" w:hAnsi="Arial"/>
          <w:i/>
          <w:iCs/>
          <w:color w:val="1B3A5C"/>
          <w:sz w:val="22"/>
          <w:szCs w:val="22"/>
        </w:rPr>
        <w:t xml:space="preserve">악함은 상대적이다 — 단, 합의의 조건은 절대적이다.</w:t>
      </w:r>
    </w:p>
    <w:p>
      <w:pPr>
        <w:pBdr>
          <w:left w:val="single" w:color="3A7CA5" w:sz="6" w:space="8"/>
        </w:pBdr>
        <w:spacing w:before="120" w:after="120"/>
        <w:ind w:left="720" w:right="720"/>
      </w:pPr>
      <w:r>
        <w:rPr>
          <w:rFonts w:ascii="Arial" w:cs="Arial" w:eastAsia="Arial" w:hAnsi="Arial"/>
          <w:i/>
          <w:iCs/>
          <w:color w:val="1B3A5C"/>
          <w:sz w:val="22"/>
          <w:szCs w:val="22"/>
        </w:rPr>
        <w:t xml:space="preserve">"Evil is relative — but the conditions of consent are absolute."</w:t>
      </w:r>
    </w:p>
    <w:p>
      <w:pPr>
        <w:spacing w:after="120"/>
        <w:jc w:val="left"/>
      </w:pPr>
      <w:r>
        <w:rPr>
          <w:rFonts w:ascii="Arial" w:cs="Arial" w:eastAsia="Arial" w:hAnsi="Arial"/>
          <w:color w:val="2C2C2C"/>
          <w:sz w:val="20"/>
          <w:szCs w:val="20"/>
        </w:rPr>
        <w:t xml:space="preserve">This single amendment transforms the thesis from philosophical provocation into an operational framework. Consent itself is subject to strict, non-negotiable prerequisites. These are detailed in Section 2.</w:t>
      </w:r>
    </w:p>
    <w:p>
      <w:pPr>
        <w:pStyle w:val="Heading2"/>
        <w:spacing w:before="300" w:after="150"/>
      </w:pPr>
      <w:r>
        <w:rPr>
          <w:rFonts w:ascii="Arial" w:cs="Arial" w:eastAsia="Arial" w:hAnsi="Arial"/>
          <w:b/>
          <w:bCs/>
          <w:color w:val="3A7CA5"/>
          <w:sz w:val="26"/>
          <w:szCs w:val="26"/>
        </w:rPr>
        <w:t xml:space="preserve">1-4. The Mille Arche Connection</w:t>
      </w:r>
    </w:p>
    <w:p>
      <w:pPr>
        <w:spacing w:after="120"/>
        <w:jc w:val="left"/>
      </w:pPr>
      <w:r>
        <w:rPr>
          <w:rFonts w:ascii="Arial" w:cs="Arial" w:eastAsia="Arial" w:hAnsi="Arial"/>
          <w:color w:val="2C2C2C"/>
          <w:sz w:val="20"/>
          <w:szCs w:val="20"/>
        </w:rPr>
        <w:t xml:space="preserve">Mille Arche's 20 years of couples research provides empirical grounding. </w:t>
      </w:r>
      <w:r>
        <w:rPr>
          <w:rFonts w:ascii="Arial" w:cs="Arial" w:eastAsia="Arial" w:hAnsi="Arial"/>
          <w:b/>
          <w:bCs/>
          <w:color w:val="2C2C2C"/>
          <w:sz w:val="20"/>
          <w:szCs w:val="20"/>
        </w:rPr>
        <w:t xml:space="preserve">The common thread in every broken relationship was "consent that was assumed but never real." </w:t>
      </w:r>
      <w:r>
        <w:rPr>
          <w:rFonts w:ascii="Arial" w:cs="Arial" w:eastAsia="Arial" w:hAnsi="Arial"/>
          <w:color w:val="2C2C2C"/>
          <w:sz w:val="20"/>
          <w:szCs w:val="20"/>
        </w:rPr>
        <w:t xml:space="preserve">One partner believed they had agreed; the other felt coerced. There was no information symmetry, no genuine free will, no possibility of revocation. This is the starting point of what Mille Arche calls an "evil relationship" — and it is precisely the pattern Veilrum's platform is designed to prevent.</w:t>
      </w:r>
    </w:p>
    <w:p>
      <w:pPr>
        <w:pBdr>
          <w:bottom w:val="single" w:color="CCCCCC" w:sz="2" w:space="4"/>
        </w:pBdr>
        <w:spacing w:before="200" w:after="200"/>
      </w:pPr>
    </w:p>
    <w:p>
      <w:r>
        <w:br w:type="page"/>
      </w:r>
    </w:p>
    <w:p>
      <w:pPr>
        <w:pStyle w:val="Heading1"/>
        <w:spacing w:before="400" w:after="200"/>
      </w:pPr>
      <w:r>
        <w:rPr>
          <w:rFonts w:ascii="Arial" w:cs="Arial" w:eastAsia="Arial" w:hAnsi="Arial"/>
          <w:b/>
          <w:bCs/>
          <w:color w:val="1B3A5C"/>
          <w:sz w:val="32"/>
          <w:szCs w:val="32"/>
        </w:rPr>
        <w:t xml:space="preserve">2. Ethical Framework</w:t>
      </w:r>
    </w:p>
    <w:p>
      <w:pPr>
        <w:spacing w:after="120"/>
        <w:jc w:val="left"/>
      </w:pPr>
      <w:r>
        <w:rPr>
          <w:rFonts w:ascii="Arial" w:cs="Arial" w:eastAsia="Arial" w:hAnsi="Arial"/>
          <w:color w:val="2C2C2C"/>
          <w:sz w:val="20"/>
          <w:szCs w:val="20"/>
        </w:rPr>
        <w:t xml:space="preserve">David Nakamura (CSO) operationalized the philosophical foundation into a structural ethical framework. This framework governs all Veilrum products, content, data handling, and user interactions.</w:t>
      </w:r>
    </w:p>
    <w:p>
      <w:pPr>
        <w:pStyle w:val="Heading2"/>
        <w:spacing w:before="300" w:after="150"/>
      </w:pPr>
      <w:r>
        <w:rPr>
          <w:rFonts w:ascii="Arial" w:cs="Arial" w:eastAsia="Arial" w:hAnsi="Arial"/>
          <w:b/>
          <w:bCs/>
          <w:color w:val="3A7CA5"/>
          <w:sz w:val="26"/>
          <w:szCs w:val="26"/>
        </w:rPr>
        <w:t xml:space="preserve">2-1. Two Axioms</w:t>
      </w:r>
    </w:p>
    <w:p>
      <w:pPr>
        <w:spacing w:after="120"/>
        <w:jc w:val="left"/>
      </w:pPr>
      <w:r>
        <w:rPr>
          <w:rFonts w:ascii="Arial" w:cs="Arial" w:eastAsia="Arial" w:hAnsi="Arial"/>
          <w:b/>
          <w:bCs/>
          <w:color w:val="2C2C2C"/>
          <w:sz w:val="20"/>
          <w:szCs w:val="20"/>
        </w:rPr>
        <w:t xml:space="preserve">Axiom 1: </w:t>
      </w:r>
      <w:r>
        <w:rPr>
          <w:rFonts w:ascii="Arial" w:cs="Arial" w:eastAsia="Arial" w:hAnsi="Arial"/>
          <w:color w:val="2C2C2C"/>
          <w:sz w:val="20"/>
          <w:szCs w:val="20"/>
        </w:rPr>
        <w:t xml:space="preserve">The evil of an act is not absolute. Whether it is evil is determined by the consent status between the parties involved.</w:t>
      </w:r>
    </w:p>
    <w:p>
      <w:pPr>
        <w:spacing w:after="120"/>
        <w:jc w:val="left"/>
      </w:pPr>
      <w:r>
        <w:rPr>
          <w:rFonts w:ascii="Arial" w:cs="Arial" w:eastAsia="Arial" w:hAnsi="Arial"/>
          <w:b/>
          <w:bCs/>
          <w:color w:val="2C2C2C"/>
          <w:sz w:val="20"/>
          <w:szCs w:val="20"/>
        </w:rPr>
        <w:t xml:space="preserve">Axiom 2: </w:t>
      </w:r>
      <w:r>
        <w:rPr>
          <w:rFonts w:ascii="Arial" w:cs="Arial" w:eastAsia="Arial" w:hAnsi="Arial"/>
          <w:color w:val="2C2C2C"/>
          <w:sz w:val="20"/>
          <w:szCs w:val="20"/>
        </w:rPr>
        <w:t xml:space="preserve">Consent itself is conditional. It is valid only when all three of the following prerequisites are simultaneously satisfied.</w:t>
      </w:r>
    </w:p>
    <w:p>
      <w:pPr>
        <w:pStyle w:val="Heading2"/>
        <w:spacing w:before="300" w:after="150"/>
      </w:pPr>
      <w:r>
        <w:rPr>
          <w:rFonts w:ascii="Arial" w:cs="Arial" w:eastAsia="Arial" w:hAnsi="Arial"/>
          <w:b/>
          <w:bCs/>
          <w:color w:val="3A7CA5"/>
          <w:sz w:val="26"/>
          <w:szCs w:val="26"/>
        </w:rPr>
        <w:t xml:space="preserve">2-2. The Three Prerequisites of Valid Consent</w:t>
      </w:r>
    </w:p>
    <w:p>
      <w:pPr>
        <w:spacing w:before="200" w:after="100"/>
      </w:pPr>
      <w:r>
        <w:rPr>
          <w:rFonts w:ascii="Arial" w:cs="Arial" w:eastAsia="Arial" w:hAnsi="Arial"/>
          <w:b/>
          <w:bCs/>
          <w:color w:val="1B3A5C"/>
          <w:sz w:val="22"/>
          <w:szCs w:val="22"/>
        </w:rPr>
        <w:t xml:space="preserve">Prerequisite 1 — Informed (Information Symmetry)</w:t>
      </w:r>
    </w:p>
    <w:p>
      <w:pPr>
        <w:spacing w:after="120"/>
        <w:jc w:val="left"/>
      </w:pPr>
      <w:r>
        <w:rPr>
          <w:rFonts w:ascii="Arial" w:cs="Arial" w:eastAsia="Arial" w:hAnsi="Arial"/>
          <w:color w:val="2C2C2C"/>
          <w:sz w:val="20"/>
          <w:szCs w:val="20"/>
        </w:rPr>
        <w:t xml:space="preserve">Both parties understand what they are consenting to — its content, consequences, and risks — in sufficient depth to make a genuine decision.</w:t>
      </w:r>
    </w:p>
    <w:p>
      <w:pPr>
        <w:spacing w:after="120"/>
        <w:jc w:val="left"/>
      </w:pPr>
      <w:r>
        <w:rPr>
          <w:rFonts w:ascii="Arial" w:cs="Arial" w:eastAsia="Arial" w:hAnsi="Arial"/>
          <w:b/>
          <w:bCs/>
          <w:color w:val="2C2C2C"/>
          <w:sz w:val="20"/>
          <w:szCs w:val="20"/>
        </w:rPr>
        <w:t xml:space="preserve">Veilrum Application: </w:t>
      </w:r>
      <w:r>
        <w:rPr>
          <w:rFonts w:ascii="Arial" w:cs="Arial" w:eastAsia="Arial" w:hAnsi="Arial"/>
          <w:color w:val="2C2C2C"/>
          <w:sz w:val="20"/>
          <w:szCs w:val="20"/>
        </w:rPr>
        <w:t xml:space="preserve">Users must know how their data is used, what content intensity levels mean in concrete terms, and what matching results signify. This is not satisfied by a terms-of-service checkbox. The information must be actively understood, not merely presented.</w:t>
      </w:r>
    </w:p>
    <w:p>
      <w:pPr>
        <w:spacing w:after="120"/>
        <w:jc w:val="left"/>
      </w:pPr>
      <w:r>
        <w:rPr>
          <w:rFonts w:ascii="Arial" w:cs="Arial" w:eastAsia="Arial" w:hAnsi="Arial"/>
          <w:b/>
          <w:bCs/>
          <w:color w:val="2C2C2C"/>
          <w:sz w:val="20"/>
          <w:szCs w:val="20"/>
        </w:rPr>
        <w:t xml:space="preserve">Critical Refinement (Ax Mercer): </w:t>
      </w:r>
      <w:r>
        <w:rPr>
          <w:rFonts w:ascii="Arial" w:cs="Arial" w:eastAsia="Arial" w:hAnsi="Arial"/>
          <w:i/>
          <w:iCs/>
          <w:color w:val="555555"/>
          <w:sz w:val="20"/>
          <w:szCs w:val="20"/>
        </w:rPr>
        <w:t xml:space="preserve">"Providing information and understanding information are two different things." </w:t>
      </w:r>
      <w:r>
        <w:rPr>
          <w:rFonts w:ascii="Arial" w:cs="Arial" w:eastAsia="Arial" w:hAnsi="Arial"/>
          <w:color w:val="2C2C2C"/>
          <w:sz w:val="20"/>
          <w:szCs w:val="20"/>
        </w:rPr>
        <w:t xml:space="preserve">A single piece of information can be interpreted in multiple ways depending on the receiver. This is the CodeTalk principle — the same word means different things to different people. Therefore, the consent process must include a mechanism that verifies comprehension, not just exposure. See Section 3 for the Progressive Disclosure Principle that addresses this.</w:t>
      </w:r>
    </w:p>
    <w:p>
      <w:pPr>
        <w:spacing w:before="200" w:after="100"/>
      </w:pPr>
      <w:r>
        <w:rPr>
          <w:rFonts w:ascii="Arial" w:cs="Arial" w:eastAsia="Arial" w:hAnsi="Arial"/>
          <w:b/>
          <w:bCs/>
          <w:color w:val="1B3A5C"/>
          <w:sz w:val="22"/>
          <w:szCs w:val="22"/>
        </w:rPr>
        <w:t xml:space="preserve">Prerequisite 2 — Voluntary (Free Will)</w:t>
      </w:r>
    </w:p>
    <w:p>
      <w:pPr>
        <w:spacing w:after="120"/>
        <w:jc w:val="left"/>
      </w:pPr>
      <w:r>
        <w:rPr>
          <w:rFonts w:ascii="Arial" w:cs="Arial" w:eastAsia="Arial" w:hAnsi="Arial"/>
          <w:color w:val="2C2C2C"/>
          <w:sz w:val="20"/>
          <w:szCs w:val="20"/>
        </w:rPr>
        <w:t xml:space="preserve">The decision is made without external pressure, dependency, or power asymmetry. Consent given under coercion, addiction, or exploitative circumstances is void.</w:t>
      </w:r>
    </w:p>
    <w:p>
      <w:pPr>
        <w:spacing w:after="120"/>
        <w:jc w:val="left"/>
      </w:pPr>
      <w:r>
        <w:rPr>
          <w:rFonts w:ascii="Arial" w:cs="Arial" w:eastAsia="Arial" w:hAnsi="Arial"/>
          <w:b/>
          <w:bCs/>
          <w:color w:val="2C2C2C"/>
          <w:sz w:val="20"/>
          <w:szCs w:val="20"/>
        </w:rPr>
        <w:t xml:space="preserve">Veilrum Application: </w:t>
      </w:r>
      <w:r>
        <w:rPr>
          <w:rFonts w:ascii="Arial" w:cs="Arial" w:eastAsia="Arial" w:hAnsi="Arial"/>
          <w:color w:val="2C2C2C"/>
          <w:sz w:val="20"/>
          <w:szCs w:val="20"/>
        </w:rPr>
        <w:t xml:space="preserve">No dark patterns in sign-up flows. No subscription cancellation barriers. No data collection forced as a condition for content access. No guilt-tripping, urgency manipulation, or social pressure mechanics. Sebastian Cross (COO) established the following operational rule: Veilrum will undergo quarterly UX audits by external firms specifically to identify and eliminate dark patterns.</w:t>
      </w:r>
    </w:p>
    <w:p>
      <w:pPr>
        <w:spacing w:before="200" w:after="100"/>
      </w:pPr>
      <w:r>
        <w:rPr>
          <w:rFonts w:ascii="Arial" w:cs="Arial" w:eastAsia="Arial" w:hAnsi="Arial"/>
          <w:b/>
          <w:bCs/>
          <w:color w:val="1B3A5C"/>
          <w:sz w:val="22"/>
          <w:szCs w:val="22"/>
        </w:rPr>
        <w:t xml:space="preserve">Prerequisite 3 — Revocable (Right to Withdraw)</w:t>
      </w:r>
    </w:p>
    <w:p>
      <w:pPr>
        <w:spacing w:after="120"/>
        <w:jc w:val="left"/>
      </w:pPr>
      <w:r>
        <w:rPr>
          <w:rFonts w:ascii="Arial" w:cs="Arial" w:eastAsia="Arial" w:hAnsi="Arial"/>
          <w:color w:val="2C2C2C"/>
          <w:sz w:val="20"/>
          <w:szCs w:val="20"/>
        </w:rPr>
        <w:t xml:space="preserve">Consent can be withdrawn at any time, and withdrawal incurs no penalty or disadvantage.</w:t>
      </w:r>
    </w:p>
    <w:p>
      <w:pPr>
        <w:spacing w:after="120"/>
        <w:jc w:val="left"/>
      </w:pPr>
      <w:r>
        <w:rPr>
          <w:rFonts w:ascii="Arial" w:cs="Arial" w:eastAsia="Arial" w:hAnsi="Arial"/>
          <w:b/>
          <w:bCs/>
          <w:color w:val="2C2C2C"/>
          <w:sz w:val="20"/>
          <w:szCs w:val="20"/>
        </w:rPr>
        <w:t xml:space="preserve">Veilrum Application: </w:t>
      </w:r>
      <w:r>
        <w:rPr>
          <w:rFonts w:ascii="Arial" w:cs="Arial" w:eastAsia="Arial" w:hAnsi="Arial"/>
          <w:color w:val="2C2C2C"/>
          <w:sz w:val="20"/>
          <w:szCs w:val="20"/>
        </w:rPr>
        <w:t xml:space="preserve">One-click data deletion. Immediate content level downgrade. Account termination with complete data erasure. No "Are you sure?" loops. No cooling-off penalties. No retention of data after deletion request. The technical implementation (Kai Andersen, CTO) ensures that revocation triggers an automated data purge pipeline compliant with GDPR Article 17.</w:t>
      </w:r>
    </w:p>
    <w:p>
      <w:pPr>
        <w:pStyle w:val="Heading2"/>
        <w:spacing w:before="300" w:after="150"/>
      </w:pPr>
      <w:r>
        <w:rPr>
          <w:rFonts w:ascii="Arial" w:cs="Arial" w:eastAsia="Arial" w:hAnsi="Arial"/>
          <w:b/>
          <w:bCs/>
          <w:color w:val="3A7CA5"/>
          <w:sz w:val="26"/>
          <w:szCs w:val="26"/>
        </w:rPr>
        <w:t xml:space="preserve">2-3. The Absolute Boundary</w:t>
      </w:r>
    </w:p>
    <w:p>
      <w:pPr>
        <w:spacing w:after="120"/>
        <w:jc w:val="left"/>
      </w:pPr>
      <w:r>
        <w:rPr>
          <w:rFonts w:ascii="Arial" w:cs="Arial" w:eastAsia="Arial" w:hAnsi="Arial"/>
          <w:color w:val="2C2C2C"/>
          <w:sz w:val="20"/>
          <w:szCs w:val="20"/>
        </w:rPr>
        <w:t xml:space="preserve">The consent framework operates within a domain where consent is possible. Outside that domain, there is an absolute, non-negotiable boundary that no amount of consent can cross.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6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Rule</w:t>
            </w:r>
          </w:p>
        </w:tc>
      </w:tr>
      <w:tr>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Minors</w:t>
            </w:r>
          </w:p>
        </w:tc>
        <w:tc>
          <w:tcPr>
            <w:tcW w:type="dxa" w:w="62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No data collection, content exposure, or matching application regardless of stated consent. Consent from minors is structurally invalid.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Incapacitated Users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Users under the influence of substances, in psychological crisis, or otherwise unable to exercise judgment. Consent given in such states is void.</w:t>
            </w:r>
          </w:p>
        </w:tc>
      </w:tr>
      <w:tr>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Coerced Situations</w:t>
            </w:r>
          </w:p>
        </w:tc>
        <w:tc>
          <w:tcPr>
            <w:tcW w:type="dxa" w:w="62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Any context where power asymmetry makes genuine free choice impossible. This includes employer-mandated use, partner-coerced participation, or dependency-driven engagement.</w:t>
            </w:r>
          </w:p>
        </w:tc>
      </w:tr>
    </w:tbl>
    <w:p>
      <w:pPr>
        <w:spacing w:after="60"/>
      </w:pPr>
    </w:p>
    <w:p>
      <w:pPr>
        <w:spacing w:after="120"/>
        <w:jc w:val="left"/>
      </w:pPr>
      <w:r>
        <w:rPr>
          <w:rFonts w:ascii="Arial" w:cs="Arial" w:eastAsia="Arial" w:hAnsi="Arial"/>
          <w:b/>
          <w:bCs/>
          <w:color w:val="2C2C2C"/>
          <w:sz w:val="20"/>
          <w:szCs w:val="20"/>
        </w:rPr>
        <w:t xml:space="preserve">These boundaries exist outside the consent framework. </w:t>
      </w:r>
      <w:r>
        <w:rPr>
          <w:rFonts w:ascii="Arial" w:cs="Arial" w:eastAsia="Arial" w:hAnsi="Arial"/>
          <w:color w:val="2C2C2C"/>
          <w:sz w:val="20"/>
          <w:szCs w:val="20"/>
        </w:rPr>
        <w:t xml:space="preserve">They are not subject to the "evil is relative" principle. They are absolute.</w:t>
      </w:r>
    </w:p>
    <w:p>
      <w:pPr>
        <w:pStyle w:val="Heading2"/>
        <w:spacing w:before="300" w:after="150"/>
      </w:pPr>
      <w:r>
        <w:rPr>
          <w:rFonts w:ascii="Arial" w:cs="Arial" w:eastAsia="Arial" w:hAnsi="Arial"/>
          <w:b/>
          <w:bCs/>
          <w:color w:val="3A7CA5"/>
          <w:sz w:val="26"/>
          <w:szCs w:val="26"/>
        </w:rPr>
        <w:t xml:space="preserve">2-4. CodeTalk-Based "Understood Consent"</w:t>
      </w:r>
    </w:p>
    <w:p>
      <w:pPr>
        <w:spacing w:after="120"/>
        <w:jc w:val="left"/>
      </w:pPr>
      <w:r>
        <w:rPr>
          <w:rFonts w:ascii="Arial" w:cs="Arial" w:eastAsia="Arial" w:hAnsi="Arial"/>
          <w:color w:val="2C2C2C"/>
          <w:sz w:val="20"/>
          <w:szCs w:val="20"/>
        </w:rPr>
        <w:t xml:space="preserve">The standard definition of informed consent — </w:t>
      </w:r>
      <w:r>
        <w:rPr>
          <w:rFonts w:ascii="Arial" w:cs="Arial" w:eastAsia="Arial" w:hAnsi="Arial"/>
          <w:i/>
          <w:iCs/>
          <w:color w:val="555555"/>
          <w:sz w:val="20"/>
          <w:szCs w:val="20"/>
        </w:rPr>
        <w:t xml:space="preserve">"the user has been sufficiently informed"</w:t>
      </w:r>
      <w:r>
        <w:rPr>
          <w:rFonts w:ascii="Arial" w:cs="Arial" w:eastAsia="Arial" w:hAnsi="Arial"/>
          <w:color w:val="2C2C2C"/>
          <w:sz w:val="20"/>
          <w:szCs w:val="20"/>
        </w:rPr>
        <w:t xml:space="preserve"> — was revised based on Ax Mercer's directive. The updated operational definition:</w:t>
      </w:r>
    </w:p>
    <w:p>
      <w:pPr>
        <w:pBdr>
          <w:left w:val="single" w:color="3A7CA5" w:sz="6" w:space="8"/>
        </w:pBdr>
        <w:spacing w:before="120" w:after="120"/>
        <w:ind w:left="720" w:right="720"/>
      </w:pPr>
      <w:r>
        <w:rPr>
          <w:rFonts w:ascii="Arial" w:cs="Arial" w:eastAsia="Arial" w:hAnsi="Arial"/>
          <w:i/>
          <w:iCs/>
          <w:color w:val="1B3A5C"/>
          <w:sz w:val="22"/>
          <w:szCs w:val="22"/>
        </w:rPr>
        <w:t xml:space="preserve">"The user understands the information at the depth they have chosen. Information is structured in progressive layers, and the user freely stops or proceeds at each layer. The deepest layer is written at a level comprehensible to someone with no specialized knowledge."</w:t>
      </w:r>
    </w:p>
    <w:p>
      <w:pPr>
        <w:spacing w:after="120"/>
        <w:jc w:val="left"/>
      </w:pPr>
      <w:r>
        <w:rPr>
          <w:rFonts w:ascii="Arial" w:cs="Arial" w:eastAsia="Arial" w:hAnsi="Arial"/>
          <w:color w:val="2C2C2C"/>
          <w:sz w:val="20"/>
          <w:szCs w:val="20"/>
        </w:rPr>
        <w:t xml:space="preserve">This embeds CodeTalk's core principle into the consent framework. </w:t>
      </w:r>
      <w:r>
        <w:rPr>
          <w:rFonts w:ascii="Arial" w:cs="Arial" w:eastAsia="Arial" w:hAnsi="Arial"/>
          <w:b/>
          <w:bCs/>
          <w:color w:val="2C2C2C"/>
          <w:sz w:val="20"/>
          <w:szCs w:val="20"/>
        </w:rPr>
        <w:t xml:space="preserve">Even when the same information is presented, different people understand it differently. </w:t>
      </w:r>
      <w:r>
        <w:rPr>
          <w:rFonts w:ascii="Arial" w:cs="Arial" w:eastAsia="Arial" w:hAnsi="Arial"/>
          <w:color w:val="2C2C2C"/>
          <w:sz w:val="20"/>
          <w:szCs w:val="20"/>
        </w:rPr>
        <w:t xml:space="preserve">Therefore, the consent process must allow each user to reach their own level of comprehension before proceeding. The final layer of explanation must be so clear that, in Ax Mercer's words, </w:t>
      </w:r>
      <w:r>
        <w:rPr>
          <w:rFonts w:ascii="Arial" w:cs="Arial" w:eastAsia="Arial" w:hAnsi="Arial"/>
          <w:i/>
          <w:iCs/>
          <w:color w:val="555555"/>
          <w:sz w:val="20"/>
          <w:szCs w:val="20"/>
        </w:rPr>
        <w:t xml:space="preserve">"even someone with the cognitive sophistication of a grade-schooler can understand it."</w:t>
      </w:r>
    </w:p>
    <w:p>
      <w:pPr>
        <w:spacing w:after="120"/>
        <w:jc w:val="left"/>
      </w:pPr>
      <w:r>
        <w:rPr>
          <w:rFonts w:ascii="Arial" w:cs="Arial" w:eastAsia="Arial" w:hAnsi="Arial"/>
          <w:color w:val="2C2C2C"/>
          <w:sz w:val="20"/>
          <w:szCs w:val="20"/>
        </w:rPr>
        <w:t xml:space="preserve">This is the inverse of academic gatekeeping. Where competitors like Esther Perel communicate elegantly to educated audiences, Veilrum communicates clearly to everyone. This is not dumbing down — it is radical accessibility. The depth is preserved; only the language barrier is removed.</w:t>
      </w:r>
    </w:p>
    <w:p>
      <w:pPr>
        <w:pBdr>
          <w:bottom w:val="single" w:color="CCCCCC" w:sz="2" w:space="4"/>
        </w:pBdr>
        <w:spacing w:before="200" w:after="200"/>
      </w:pPr>
    </w:p>
    <w:p>
      <w:r>
        <w:br w:type="page"/>
      </w:r>
    </w:p>
    <w:p>
      <w:pPr>
        <w:pStyle w:val="Heading1"/>
        <w:spacing w:before="400" w:after="200"/>
      </w:pPr>
      <w:r>
        <w:rPr>
          <w:rFonts w:ascii="Arial" w:cs="Arial" w:eastAsia="Arial" w:hAnsi="Arial"/>
          <w:b/>
          <w:bCs/>
          <w:color w:val="1B3A5C"/>
          <w:sz w:val="32"/>
          <w:szCs w:val="32"/>
        </w:rPr>
        <w:t xml:space="preserve">3. Progressive Disclosure Principle</w:t>
      </w:r>
    </w:p>
    <w:p>
      <w:pPr>
        <w:spacing w:after="120"/>
        <w:jc w:val="left"/>
      </w:pPr>
      <w:r>
        <w:rPr>
          <w:rFonts w:ascii="Arial" w:cs="Arial" w:eastAsia="Arial" w:hAnsi="Arial"/>
          <w:color w:val="2C2C2C"/>
          <w:sz w:val="20"/>
          <w:szCs w:val="20"/>
        </w:rPr>
        <w:t xml:space="preserve">Ax Mercer established that the layered information architecture applies not just to the consent flow, but to every aspect of the Veilrum platform: content, framework explanations, diagnostic results, coaching guidance, and the consent process itself.</w:t>
      </w:r>
    </w:p>
    <w:p>
      <w:pPr>
        <w:pStyle w:val="Heading2"/>
        <w:spacing w:before="300" w:after="150"/>
      </w:pPr>
      <w:r>
        <w:rPr>
          <w:rFonts w:ascii="Arial" w:cs="Arial" w:eastAsia="Arial" w:hAnsi="Arial"/>
          <w:b/>
          <w:bCs/>
          <w:color w:val="3A7CA5"/>
          <w:sz w:val="26"/>
          <w:szCs w:val="26"/>
        </w:rPr>
        <w:t xml:space="preserve">3-1. The Film Rating Analogy</w:t>
      </w:r>
    </w:p>
    <w:p>
      <w:pPr>
        <w:spacing w:after="120"/>
        <w:jc w:val="left"/>
      </w:pPr>
      <w:r>
        <w:rPr>
          <w:rFonts w:ascii="Arial" w:cs="Arial" w:eastAsia="Arial" w:hAnsi="Arial"/>
          <w:color w:val="2C2C2C"/>
          <w:sz w:val="20"/>
          <w:szCs w:val="20"/>
        </w:rPr>
        <w:t xml:space="preserve">Ax Mercer's framing: </w:t>
      </w:r>
      <w:r>
        <w:rPr>
          <w:rFonts w:ascii="Arial" w:cs="Arial" w:eastAsia="Arial" w:hAnsi="Arial"/>
          <w:i/>
          <w:iCs/>
          <w:color w:val="555555"/>
          <w:sz w:val="20"/>
          <w:szCs w:val="20"/>
        </w:rPr>
        <w:t xml:space="preserve">"Why do film ratings exist? Before showing you the content, they say: this content is of this depth. Do you want to see it? That's calling for consent. But if you accept it and watch it, you shouldn't complain afterwards."</w:t>
      </w:r>
    </w:p>
    <w:p>
      <w:pPr>
        <w:spacing w:after="120"/>
        <w:jc w:val="left"/>
      </w:pPr>
      <w:r>
        <w:rPr>
          <w:rFonts w:ascii="Arial" w:cs="Arial" w:eastAsia="Arial" w:hAnsi="Arial"/>
          <w:color w:val="2C2C2C"/>
          <w:sz w:val="20"/>
          <w:szCs w:val="20"/>
        </w:rPr>
        <w:t xml:space="preserve">Film ratings are a consent mechanism disguised as a classification system. The viewer is informed of the intensity level, agrees to proceed, and takes responsibility for the experience. Veilrum's content level system (Level 1–5) operates on the same principle, but with far greater granularity and user agency.</w:t>
      </w:r>
    </w:p>
    <w:p>
      <w:pPr>
        <w:spacing w:after="120"/>
        <w:jc w:val="left"/>
      </w:pPr>
      <w:r>
        <w:rPr>
          <w:rFonts w:ascii="Arial" w:cs="Arial" w:eastAsia="Arial" w:hAnsi="Arial"/>
          <w:b/>
          <w:bCs/>
          <w:color w:val="2C2C2C"/>
          <w:sz w:val="20"/>
          <w:szCs w:val="20"/>
        </w:rPr>
        <w:t xml:space="preserve">The critical addition: </w:t>
      </w:r>
      <w:r>
        <w:rPr>
          <w:rFonts w:ascii="Arial" w:cs="Arial" w:eastAsia="Arial" w:hAnsi="Arial"/>
          <w:i/>
          <w:iCs/>
          <w:color w:val="555555"/>
          <w:sz w:val="20"/>
          <w:szCs w:val="20"/>
        </w:rPr>
        <w:t xml:space="preserve">"But most of the time, when people consent, they don't truly understand the information. The CodeTalk isn't aligned. The information transmitted is one thing, but the information received can be many things. We need to make them aware of this and guide them to the next step. But the skill is not making this a burden that stops them — it's making them curious enough to step through."</w:t>
      </w:r>
    </w:p>
    <w:p>
      <w:pPr>
        <w:pStyle w:val="Heading2"/>
        <w:spacing w:before="300" w:after="150"/>
      </w:pPr>
      <w:r>
        <w:rPr>
          <w:rFonts w:ascii="Arial" w:cs="Arial" w:eastAsia="Arial" w:hAnsi="Arial"/>
          <w:b/>
          <w:bCs/>
          <w:color w:val="3A7CA5"/>
          <w:sz w:val="26"/>
          <w:szCs w:val="26"/>
        </w:rPr>
        <w:t xml:space="preserve">3-2. The Three-Layer Architecture</w:t>
      </w:r>
    </w:p>
    <w:p>
      <w:pPr>
        <w:spacing w:after="120"/>
        <w:jc w:val="left"/>
      </w:pPr>
      <w:r>
        <w:rPr>
          <w:rFonts w:ascii="Arial" w:cs="Arial" w:eastAsia="Arial" w:hAnsi="Arial"/>
          <w:color w:val="2C2C2C"/>
          <w:sz w:val="20"/>
          <w:szCs w:val="20"/>
        </w:rPr>
        <w:t xml:space="preserve">Every piece of information on the Veilrum platform follows a three-layer structure. Each layer is a door, not a wall. Each door is an invitation, not a warning.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Depth</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Format</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Tone</w:t>
            </w:r>
          </w:p>
        </w:tc>
      </w:tr>
      <w:tr>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Layer 1</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One-line summary. The headline. Enough to spark interest.</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60-sec short-form, app card, push notification</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Hook. Curiosity trigger. "Did you know...?"</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Layer 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One-paragraph explanation. Context, patterns, why it matters.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YouTube/podcast (10-20 min), expandable app section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Insight. "Here's what's happening..."</w:t>
            </w:r>
          </w:p>
        </w:tc>
      </w:tr>
      <w:tr>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Layer 3</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Full analysis. Complete mechanism, data, actionable steps. Understandable by anyone.</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Proprietary platform long-form, interactive CodeTalk session</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Clarity. "Here's exactly how it works, in plain language."</w:t>
            </w:r>
          </w:p>
        </w:tc>
      </w:tr>
    </w:tbl>
    <w:p>
      <w:pPr>
        <w:pStyle w:val="Heading2"/>
        <w:spacing w:before="300" w:after="150"/>
      </w:pPr>
      <w:r>
        <w:rPr>
          <w:rFonts w:ascii="Arial" w:cs="Arial" w:eastAsia="Arial" w:hAnsi="Arial"/>
          <w:b/>
          <w:bCs/>
          <w:color w:val="3A7CA5"/>
          <w:sz w:val="26"/>
          <w:szCs w:val="26"/>
        </w:rPr>
        <w:t xml:space="preserve">3-3. Applied Example: Mask Framework Diagnosis</w:t>
      </w:r>
    </w:p>
    <w:p>
      <w:pPr>
        <w:spacing w:before="200" w:after="100"/>
      </w:pPr>
      <w:r>
        <w:rPr>
          <w:rFonts w:ascii="Arial" w:cs="Arial" w:eastAsia="Arial" w:hAnsi="Arial"/>
          <w:b/>
          <w:bCs/>
          <w:color w:val="1B3A5C"/>
          <w:sz w:val="22"/>
          <w:szCs w:val="22"/>
        </w:rPr>
        <w:t xml:space="preserve">Layer 1 (App Card)</w:t>
      </w:r>
    </w:p>
    <w:p>
      <w:pPr>
        <w:pBdr>
          <w:left w:val="single" w:color="3A7CA5" w:sz="6" w:space="8"/>
        </w:pBdr>
        <w:spacing w:before="120" w:after="120"/>
        <w:ind w:left="720" w:right="720"/>
      </w:pPr>
      <w:r>
        <w:rPr>
          <w:rFonts w:ascii="Arial" w:cs="Arial" w:eastAsia="Arial" w:hAnsi="Arial"/>
          <w:i/>
          <w:iCs/>
          <w:color w:val="1B3A5C"/>
          <w:sz w:val="22"/>
          <w:szCs w:val="22"/>
        </w:rPr>
        <w:t xml:space="preserve">"Your mask type is 'Guardian.' You tend to protect others in relationships."</w:t>
      </w:r>
    </w:p>
    <w:p>
      <w:pPr>
        <w:spacing w:after="120"/>
        <w:jc w:val="left"/>
      </w:pPr>
      <w:r>
        <w:rPr>
          <w:rFonts w:ascii="Arial" w:cs="Arial" w:eastAsia="Arial" w:hAnsi="Arial"/>
          <w:i/>
          <w:iCs/>
          <w:color w:val="555555"/>
          <w:sz w:val="20"/>
          <w:szCs w:val="20"/>
        </w:rPr>
        <w:t xml:space="preserve">Want to know more? →</w:t>
      </w:r>
    </w:p>
    <w:p>
      <w:pPr>
        <w:spacing w:before="200" w:after="100"/>
      </w:pPr>
      <w:r>
        <w:rPr>
          <w:rFonts w:ascii="Arial" w:cs="Arial" w:eastAsia="Arial" w:hAnsi="Arial"/>
          <w:b/>
          <w:bCs/>
          <w:color w:val="1B3A5C"/>
          <w:sz w:val="22"/>
          <w:szCs w:val="22"/>
        </w:rPr>
        <w:t xml:space="preserve">Layer 2 (Expanded Section)</w:t>
      </w:r>
    </w:p>
    <w:p>
      <w:pPr>
        <w:spacing w:after="120"/>
        <w:jc w:val="left"/>
      </w:pPr>
      <w:r>
        <w:rPr>
          <w:rFonts w:ascii="Arial" w:cs="Arial" w:eastAsia="Arial" w:hAnsi="Arial"/>
          <w:color w:val="2C2C2C"/>
          <w:sz w:val="20"/>
          <w:szCs w:val="20"/>
        </w:rPr>
        <w:t xml:space="preserve">The Guardian mask forms in childhood when you learned that keeping others safe earned love. In relationships, this manifests as over-functioning: anticipating your partner's needs before they express them, absorbing their emotional burden, and feeling anxious when you can't "fix" things. Compatible types respond well to your care; incompatible types feel controlled by it. Your top friction point is with 'Rebel' types who interpret protection as restriction.</w:t>
      </w:r>
    </w:p>
    <w:p>
      <w:pPr>
        <w:spacing w:after="120"/>
        <w:jc w:val="left"/>
      </w:pPr>
      <w:r>
        <w:rPr>
          <w:rFonts w:ascii="Arial" w:cs="Arial" w:eastAsia="Arial" w:hAnsi="Arial"/>
          <w:i/>
          <w:iCs/>
          <w:color w:val="555555"/>
          <w:sz w:val="20"/>
          <w:szCs w:val="20"/>
        </w:rPr>
        <w:t xml:space="preserve">Want to understand the full mechanism? →</w:t>
      </w:r>
    </w:p>
    <w:p>
      <w:pPr>
        <w:spacing w:before="200" w:after="100"/>
      </w:pPr>
      <w:r>
        <w:rPr>
          <w:rFonts w:ascii="Arial" w:cs="Arial" w:eastAsia="Arial" w:hAnsi="Arial"/>
          <w:b/>
          <w:bCs/>
          <w:color w:val="1B3A5C"/>
          <w:sz w:val="22"/>
          <w:szCs w:val="22"/>
        </w:rPr>
        <w:t xml:space="preserve">Layer 3 (Full Analysis, Platform-Exclusive)</w:t>
      </w:r>
    </w:p>
    <w:p>
      <w:pPr>
        <w:spacing w:after="120"/>
        <w:jc w:val="left"/>
      </w:pPr>
      <w:r>
        <w:rPr>
          <w:rFonts w:ascii="Arial" w:cs="Arial" w:eastAsia="Arial" w:hAnsi="Arial"/>
          <w:color w:val="2C2C2C"/>
          <w:sz w:val="20"/>
          <w:szCs w:val="20"/>
        </w:rPr>
        <w:t xml:space="preserve">Here the full mechanism is laid out: how the Guardian mask connects to Habitus (social class conditioning that equated safety-provision with worth), how it intersects with your Sexual Spectrum (preference for emotional safety before physical intimacy), and how it maps onto Money-Sex dynamics (tendency to express love through financial provision). Every term is explained without jargon. Every concept is illustrated with concrete examples. A grade-schooler could follow the logic, even though the depth is graduate-level psychology.</w:t>
      </w:r>
    </w:p>
    <w:p>
      <w:pPr>
        <w:pStyle w:val="Heading2"/>
        <w:spacing w:before="300" w:after="150"/>
      </w:pPr>
      <w:r>
        <w:rPr>
          <w:rFonts w:ascii="Arial" w:cs="Arial" w:eastAsia="Arial" w:hAnsi="Arial"/>
          <w:b/>
          <w:bCs/>
          <w:color w:val="3A7CA5"/>
          <w:sz w:val="26"/>
          <w:szCs w:val="26"/>
        </w:rPr>
        <w:t xml:space="preserve">3-4. Applied to Consent Flow</w:t>
      </w:r>
    </w:p>
    <w:p>
      <w:pPr>
        <w:spacing w:after="120"/>
        <w:jc w:val="left"/>
      </w:pPr>
      <w:r>
        <w:rPr>
          <w:rFonts w:ascii="Arial" w:cs="Arial" w:eastAsia="Arial" w:hAnsi="Arial"/>
          <w:color w:val="2C2C2C"/>
          <w:sz w:val="20"/>
          <w:szCs w:val="20"/>
        </w:rPr>
        <w:t xml:space="preserve">The same three-layer structure governs the consent process when a user approaches higher-intensity content:</w:t>
      </w:r>
    </w:p>
    <w:p>
      <w:pPr>
        <w:spacing w:before="200" w:after="100"/>
      </w:pPr>
      <w:r>
        <w:rPr>
          <w:rFonts w:ascii="Arial" w:cs="Arial" w:eastAsia="Arial" w:hAnsi="Arial"/>
          <w:b/>
          <w:bCs/>
          <w:color w:val="1B3A5C"/>
          <w:sz w:val="22"/>
          <w:szCs w:val="22"/>
        </w:rPr>
        <w:t xml:space="preserve">Layer 1 (Default — Swipe Screen)</w:t>
      </w:r>
    </w:p>
    <w:p>
      <w:pPr>
        <w:spacing w:after="120"/>
        <w:jc w:val="left"/>
      </w:pPr>
      <w:r>
        <w:rPr>
          <w:rFonts w:ascii="Arial" w:cs="Arial" w:eastAsia="Arial" w:hAnsi="Arial"/>
          <w:color w:val="2C2C2C"/>
          <w:sz w:val="20"/>
          <w:szCs w:val="20"/>
        </w:rPr>
        <w:t xml:space="preserve">"This content explores the connection between sexual fantasies and childhood imprinting."</w:t>
      </w:r>
    </w:p>
    <w:p>
      <w:pPr>
        <w:spacing w:after="120"/>
        <w:jc w:val="left"/>
      </w:pPr>
      <w:r>
        <w:rPr>
          <w:rFonts w:ascii="Arial" w:cs="Arial" w:eastAsia="Arial" w:hAnsi="Arial"/>
          <w:i/>
          <w:iCs/>
          <w:color w:val="555555"/>
          <w:sz w:val="20"/>
          <w:szCs w:val="20"/>
        </w:rPr>
        <w:t xml:space="preserve">[Continue] / [Not now]</w:t>
      </w:r>
    </w:p>
    <w:p>
      <w:pPr>
        <w:spacing w:before="200" w:after="100"/>
      </w:pPr>
      <w:r>
        <w:rPr>
          <w:rFonts w:ascii="Arial" w:cs="Arial" w:eastAsia="Arial" w:hAnsi="Arial"/>
          <w:b/>
          <w:bCs/>
          <w:color w:val="1B3A5C"/>
          <w:sz w:val="22"/>
          <w:szCs w:val="22"/>
        </w:rPr>
        <w:t xml:space="preserve">Layer 2 (If user taps "Tell me more")</w:t>
      </w:r>
    </w:p>
    <w:p>
      <w:pPr>
        <w:spacing w:after="120"/>
        <w:jc w:val="left"/>
      </w:pPr>
      <w:r>
        <w:rPr>
          <w:rFonts w:ascii="Arial" w:cs="Arial" w:eastAsia="Arial" w:hAnsi="Arial"/>
          <w:color w:val="2C2C2C"/>
          <w:sz w:val="20"/>
          <w:szCs w:val="20"/>
        </w:rPr>
        <w:t xml:space="preserve">"'Sexual fantasy' here doesn't mean taboo or shameful desire. It means the patterns of arousal that formed in your early life — the situations that made you feel seen, powerful, or safe. This content examines how those patterns show up in your adult relationships, with specific examples from research data."</w:t>
      </w:r>
    </w:p>
    <w:p>
      <w:pPr>
        <w:spacing w:after="120"/>
        <w:jc w:val="left"/>
      </w:pPr>
      <w:r>
        <w:rPr>
          <w:rFonts w:ascii="Arial" w:cs="Arial" w:eastAsia="Arial" w:hAnsi="Arial"/>
          <w:i/>
          <w:iCs/>
          <w:color w:val="555555"/>
          <w:sz w:val="20"/>
          <w:szCs w:val="20"/>
        </w:rPr>
        <w:t xml:space="preserve">[I understand, continue] / [Not now]</w:t>
      </w:r>
    </w:p>
    <w:p>
      <w:pPr>
        <w:spacing w:before="200" w:after="100"/>
      </w:pPr>
      <w:r>
        <w:rPr>
          <w:rFonts w:ascii="Arial" w:cs="Arial" w:eastAsia="Arial" w:hAnsi="Arial"/>
          <w:b/>
          <w:bCs/>
          <w:color w:val="1B3A5C"/>
          <w:sz w:val="22"/>
          <w:szCs w:val="22"/>
        </w:rPr>
        <w:t xml:space="preserve">Layer 3 (If user taps "Explain further")</w:t>
      </w:r>
    </w:p>
    <w:p>
      <w:pPr>
        <w:spacing w:after="120"/>
        <w:jc w:val="left"/>
      </w:pPr>
      <w:r>
        <w:rPr>
          <w:rFonts w:ascii="Arial" w:cs="Arial" w:eastAsia="Arial" w:hAnsi="Arial"/>
          <w:color w:val="2C2C2C"/>
          <w:sz w:val="20"/>
          <w:szCs w:val="20"/>
        </w:rPr>
        <w:t xml:space="preserve">"Imagine you're 8 years old. Your mom is always working. The only time she pays attention to you is when you're sick. Your brain learns: being vulnerable = getting love. Fast forward 30 years. In bed, you like your partner to take care of you, to be gentle, to ask if you're okay. That's not random. That's your 8-year-old brain's definition of love, playing out in adult intimacy. This content shows you exactly how that works, with real data from real people."</w:t>
      </w:r>
    </w:p>
    <w:p>
      <w:pPr>
        <w:spacing w:after="120"/>
        <w:jc w:val="left"/>
      </w:pPr>
      <w:r>
        <w:rPr>
          <w:rFonts w:ascii="Arial" w:cs="Arial" w:eastAsia="Arial" w:hAnsi="Arial"/>
          <w:i/>
          <w:iCs/>
          <w:color w:val="555555"/>
          <w:sz w:val="20"/>
          <w:szCs w:val="20"/>
        </w:rPr>
        <w:t xml:space="preserve">[Got it. Show me.] / [Maybe later.]</w:t>
      </w:r>
    </w:p>
    <w:p>
      <w:pPr>
        <w:spacing w:after="120"/>
        <w:jc w:val="left"/>
      </w:pPr>
      <w:r>
        <w:rPr>
          <w:rFonts w:ascii="Arial" w:cs="Arial" w:eastAsia="Arial" w:hAnsi="Arial"/>
          <w:b/>
          <w:bCs/>
          <w:color w:val="2C2C2C"/>
          <w:sz w:val="20"/>
          <w:szCs w:val="20"/>
        </w:rPr>
        <w:t xml:space="preserve">Each layer is simultaneously explanation and invitation. </w:t>
      </w:r>
      <w:r>
        <w:rPr>
          <w:rFonts w:ascii="Arial" w:cs="Arial" w:eastAsia="Arial" w:hAnsi="Arial"/>
          <w:color w:val="2C2C2C"/>
          <w:sz w:val="20"/>
          <w:szCs w:val="20"/>
        </w:rPr>
        <w:t xml:space="preserve">The deeper the user goes, the more they understand what they're consenting to. And at every layer, the exit is equally accessible — no friction, no guilt, no penalty.</w:t>
      </w:r>
    </w:p>
    <w:p>
      <w:pPr>
        <w:pStyle w:val="Heading2"/>
        <w:spacing w:before="300" w:after="150"/>
      </w:pPr>
      <w:r>
        <w:rPr>
          <w:rFonts w:ascii="Arial" w:cs="Arial" w:eastAsia="Arial" w:hAnsi="Arial"/>
          <w:b/>
          <w:bCs/>
          <w:color w:val="3A7CA5"/>
          <w:sz w:val="26"/>
          <w:szCs w:val="26"/>
        </w:rPr>
        <w:t xml:space="preserve">3-5. Channel Mapping</w:t>
      </w:r>
    </w:p>
    <w:p>
      <w:pPr>
        <w:spacing w:after="120"/>
        <w:jc w:val="left"/>
      </w:pPr>
      <w:r>
        <w:rPr>
          <w:rFonts w:ascii="Arial" w:cs="Arial" w:eastAsia="Arial" w:hAnsi="Arial"/>
          <w:color w:val="2C2C2C"/>
          <w:sz w:val="20"/>
          <w:szCs w:val="20"/>
        </w:rPr>
        <w:t xml:space="preserve">Leo Vargas (CMO) mapped the three-layer architecture directly onto Veilrum's content distribution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Channel</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 Level</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Consent Type</w:t>
            </w:r>
          </w:p>
        </w:tc>
      </w:tr>
      <w:tr>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TikTok / Reels</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Layer 1</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Lv.1~2</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Implicit (platform TOS)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YouTube / Podcast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Layer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Lv.2~3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Semi-implicit (click-to-play)</w:t>
            </w:r>
          </w:p>
        </w:tc>
      </w:tr>
      <w:tr>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Veilrum Platform</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Layer 3</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Lv.3~5</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Explicit (progressive consent)</w:t>
            </w:r>
          </w:p>
        </w:tc>
      </w:tr>
    </w:tbl>
    <w:p>
      <w:pPr>
        <w:pStyle w:val="Heading2"/>
        <w:spacing w:before="300" w:after="150"/>
      </w:pPr>
      <w:r>
        <w:rPr>
          <w:rFonts w:ascii="Arial" w:cs="Arial" w:eastAsia="Arial" w:hAnsi="Arial"/>
          <w:b/>
          <w:bCs/>
          <w:color w:val="3A7CA5"/>
          <w:sz w:val="26"/>
          <w:szCs w:val="26"/>
        </w:rPr>
        <w:t xml:space="preserve">3-6. Automatic User Segmentation</w:t>
      </w:r>
    </w:p>
    <w:p>
      <w:pPr>
        <w:spacing w:after="120"/>
        <w:jc w:val="left"/>
      </w:pPr>
      <w:r>
        <w:rPr>
          <w:rFonts w:ascii="Arial" w:cs="Arial" w:eastAsia="Arial" w:hAnsi="Arial"/>
          <w:color w:val="2C2C2C"/>
          <w:sz w:val="20"/>
          <w:szCs w:val="20"/>
        </w:rPr>
        <w:t xml:space="preserve">Sebastian Cross (COO) identified a critical operational benefit: </w:t>
      </w:r>
      <w:r>
        <w:rPr>
          <w:rFonts w:ascii="Arial" w:cs="Arial" w:eastAsia="Arial" w:hAnsi="Arial"/>
          <w:b/>
          <w:bCs/>
          <w:color w:val="2C2C2C"/>
          <w:sz w:val="20"/>
          <w:szCs w:val="20"/>
        </w:rPr>
        <w:t xml:space="preserve">user behavior within the layer structure automatically segments the audience. </w:t>
      </w:r>
      <w:r>
        <w:rPr>
          <w:rFonts w:ascii="Arial" w:cs="Arial" w:eastAsia="Arial" w:hAnsi="Arial"/>
          <w:color w:val="2C2C2C"/>
          <w:sz w:val="20"/>
          <w:szCs w:val="20"/>
        </w:rPr>
        <w:t xml:space="preserve">Users who stop at Layer 1 are casual browsers. Users who reach Layer 2 are engaged learners. Users who drill into Layer 3 are deep engagers. This behavioral data feeds directly into the RI API for content recommendation, matching accuracy, and AI coach calibration — without requiring any separate survey or segmentation effort.</w:t>
      </w:r>
    </w:p>
    <w:p>
      <w:pPr>
        <w:spacing w:after="120"/>
        <w:jc w:val="left"/>
      </w:pPr>
      <w:r>
        <w:rPr>
          <w:rFonts w:ascii="Arial" w:cs="Arial" w:eastAsia="Arial" w:hAnsi="Arial"/>
          <w:color w:val="2C2C2C"/>
          <w:sz w:val="20"/>
          <w:szCs w:val="20"/>
        </w:rPr>
        <w:t xml:space="preserve">Combined with the consent framework, this means that users at each depth level have consented to that depth. A Layer 1 user will never accidentally encounter Layer 3 content. The architecture structurally prevents it.</w:t>
      </w:r>
    </w:p>
    <w:p>
      <w:pPr>
        <w:pBdr>
          <w:bottom w:val="single" w:color="CCCCCC" w:sz="2" w:space="4"/>
        </w:pBdr>
        <w:spacing w:before="200" w:after="200"/>
      </w:pPr>
    </w:p>
    <w:p>
      <w:r>
        <w:br w:type="page"/>
      </w:r>
    </w:p>
    <w:p>
      <w:pPr>
        <w:pStyle w:val="Heading1"/>
        <w:spacing w:before="400" w:after="200"/>
      </w:pPr>
      <w:r>
        <w:rPr>
          <w:rFonts w:ascii="Arial" w:cs="Arial" w:eastAsia="Arial" w:hAnsi="Arial"/>
          <w:b/>
          <w:bCs/>
          <w:color w:val="1B3A5C"/>
          <w:sz w:val="32"/>
          <w:szCs w:val="32"/>
        </w:rPr>
        <w:t xml:space="preserve">4. Product Design: Consent Module</w:t>
      </w:r>
    </w:p>
    <w:p>
      <w:pPr>
        <w:spacing w:after="120"/>
        <w:jc w:val="left"/>
      </w:pPr>
      <w:r>
        <w:rPr>
          <w:rFonts w:ascii="Arial" w:cs="Arial" w:eastAsia="Arial" w:hAnsi="Arial"/>
          <w:color w:val="2C2C2C"/>
          <w:sz w:val="20"/>
          <w:szCs w:val="20"/>
        </w:rPr>
        <w:t xml:space="preserve">Kai Andersen (CTO) designed the technical implementation of the consent framework within the RI (Relationship Intelligence) API.</w:t>
      </w:r>
    </w:p>
    <w:p>
      <w:pPr>
        <w:pStyle w:val="Heading2"/>
        <w:spacing w:before="300" w:after="150"/>
      </w:pPr>
      <w:r>
        <w:rPr>
          <w:rFonts w:ascii="Arial" w:cs="Arial" w:eastAsia="Arial" w:hAnsi="Arial"/>
          <w:b/>
          <w:bCs/>
          <w:color w:val="3A7CA5"/>
          <w:sz w:val="26"/>
          <w:szCs w:val="26"/>
        </w:rPr>
        <w:t xml:space="preserve">4-1. Consent State Data Structure</w:t>
      </w:r>
    </w:p>
    <w:p>
      <w:pPr>
        <w:spacing w:after="120"/>
        <w:jc w:val="left"/>
      </w:pPr>
      <w:r>
        <w:rPr>
          <w:rFonts w:ascii="Arial" w:cs="Arial" w:eastAsia="Arial" w:hAnsi="Arial"/>
          <w:color w:val="2C2C2C"/>
          <w:sz w:val="20"/>
          <w:szCs w:val="20"/>
        </w:rPr>
        <w:t xml:space="preserve">Every user profile includes a consent_state object that tracks consent status per content level, with full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identity_verified</w:t>
            </w:r>
          </w:p>
        </w:tc>
        <w:tc>
          <w:tcPr>
            <w:tcW w:type="dxa" w:w="62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Boolean. Basic identity check (email + phone).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age_verified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Boolean. Third-party age verification (Jumio/Onfido). Required for Lv.4+.</w:t>
            </w:r>
          </w:p>
        </w:tc>
      </w:tr>
      <w:tr>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consent_state.level_1_3</w:t>
            </w:r>
          </w:p>
        </w:tc>
        <w:tc>
          <w:tcPr>
            <w:tcW w:type="dxa" w:w="62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Granted on sign-up. Timestamp recorded. Revocable.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consent_state.level_4</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Requires explicit click-through with progressive disclosure. Timestamp + method recorded.</w:t>
            </w:r>
          </w:p>
        </w:tc>
      </w:tr>
      <w:tr>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consent_state.level_5</w:t>
            </w:r>
          </w:p>
        </w:tc>
        <w:tc>
          <w:tcPr>
            <w:tcW w:type="dxa" w:w="62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Requires double opt-in + age verification + progressive disclosure Layer 3 completion. Timestamp + method + disclosure_depth recorded.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meta_consent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Boolean. Separate consent for using the user's consent behavior data in research. "Can we study how you made this choice?"</w:t>
            </w:r>
          </w:p>
        </w:tc>
      </w:tr>
      <w:tr>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consent_history</w:t>
            </w:r>
          </w:p>
        </w:tc>
        <w:tc>
          <w:tcPr>
            <w:tcW w:type="dxa" w:w="62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Append-only log. Every consent grant, revocation, and level change with timestamps. Cannot be modified or deleted. Serves as legal audit trail.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data_deletion_requested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Boolean. Triggers automated purge pipeline across all Veilrum systems.</w:t>
            </w:r>
          </w:p>
        </w:tc>
      </w:tr>
    </w:tbl>
    <w:p>
      <w:pPr>
        <w:pStyle w:val="Heading2"/>
        <w:spacing w:before="300" w:after="150"/>
      </w:pPr>
      <w:r>
        <w:rPr>
          <w:rFonts w:ascii="Arial" w:cs="Arial" w:eastAsia="Arial" w:hAnsi="Arial"/>
          <w:b/>
          <w:bCs/>
          <w:color w:val="3A7CA5"/>
          <w:sz w:val="26"/>
          <w:szCs w:val="26"/>
        </w:rPr>
        <w:t xml:space="preserve">4-2. Three Core Technical Mechanisms</w:t>
      </w:r>
    </w:p>
    <w:p>
      <w:pPr>
        <w:spacing w:before="200" w:after="100"/>
      </w:pPr>
      <w:r>
        <w:rPr>
          <w:rFonts w:ascii="Arial" w:cs="Arial" w:eastAsia="Arial" w:hAnsi="Arial"/>
          <w:b/>
          <w:bCs/>
          <w:color w:val="1B3A5C"/>
          <w:sz w:val="22"/>
          <w:szCs w:val="22"/>
        </w:rPr>
        <w:t xml:space="preserve">Mechanism 1: Gatekeeping</w:t>
      </w:r>
    </w:p>
    <w:p>
      <w:pPr>
        <w:spacing w:after="120"/>
        <w:jc w:val="left"/>
      </w:pPr>
      <w:r>
        <w:rPr>
          <w:rFonts w:ascii="Arial" w:cs="Arial" w:eastAsia="Arial" w:hAnsi="Arial"/>
          <w:color w:val="2C2C2C"/>
          <w:sz w:val="20"/>
          <w:szCs w:val="20"/>
        </w:rPr>
        <w:t xml:space="preserve">When a user attempts to access content above their current consent level, the system performs a real-time check against consent_state. If consent is not granted, the content is blocked and the progressive disclosure flow is triggered. The user is never shown a generic "access denied" message — they are shown the Layer 1 explanation of what the content contains and invited to learn more.</w:t>
      </w:r>
    </w:p>
    <w:p>
      <w:pPr>
        <w:spacing w:before="200" w:after="100"/>
      </w:pPr>
      <w:r>
        <w:rPr>
          <w:rFonts w:ascii="Arial" w:cs="Arial" w:eastAsia="Arial" w:hAnsi="Arial"/>
          <w:b/>
          <w:bCs/>
          <w:color w:val="1B3A5C"/>
          <w:sz w:val="22"/>
          <w:szCs w:val="22"/>
        </w:rPr>
        <w:t xml:space="preserve">Mechanism 2: Immutable Audit Log</w:t>
      </w:r>
    </w:p>
    <w:p>
      <w:pPr>
        <w:spacing w:after="120"/>
        <w:jc w:val="left"/>
      </w:pPr>
      <w:r>
        <w:rPr>
          <w:rFonts w:ascii="Arial" w:cs="Arial" w:eastAsia="Arial" w:hAnsi="Arial"/>
          <w:color w:val="2C2C2C"/>
          <w:sz w:val="20"/>
          <w:szCs w:val="20"/>
        </w:rPr>
        <w:t xml:space="preserve">consent_history is append-only. No records can be modified or deleted, even by system administrators. This creates a legally defensible evidence trail showing exactly what the user consented to, when, and through what process. Sebastian Cross (COO) confirmed this meets GDPR Article 7's requirements for demonstrable consent.</w:t>
      </w:r>
    </w:p>
    <w:p>
      <w:pPr>
        <w:spacing w:before="200" w:after="100"/>
      </w:pPr>
      <w:r>
        <w:rPr>
          <w:rFonts w:ascii="Arial" w:cs="Arial" w:eastAsia="Arial" w:hAnsi="Arial"/>
          <w:b/>
          <w:bCs/>
          <w:color w:val="1B3A5C"/>
          <w:sz w:val="22"/>
          <w:szCs w:val="22"/>
        </w:rPr>
        <w:t xml:space="preserve">Mechanism 3: Instant Revocation</w:t>
      </w:r>
    </w:p>
    <w:p>
      <w:pPr>
        <w:spacing w:after="120"/>
        <w:jc w:val="left"/>
      </w:pPr>
      <w:r>
        <w:rPr>
          <w:rFonts w:ascii="Arial" w:cs="Arial" w:eastAsia="Arial" w:hAnsi="Arial"/>
          <w:color w:val="2C2C2C"/>
          <w:sz w:val="20"/>
          <w:szCs w:val="20"/>
        </w:rPr>
        <w:t xml:space="preserve">When a user revokes consent at any level, three things happen simultaneously: (1) all content above the revoked level becomes immediately inaccessible, (2) an automated data purge pipeline triggers for data associated with that level, and (3) the revocation is logged in consent_history. There is no cooling-off period, no "Are you sure?" confirmation loop, and no retention of data post-revocation.</w:t>
      </w:r>
    </w:p>
    <w:p>
      <w:pPr>
        <w:pStyle w:val="Heading2"/>
        <w:spacing w:before="300" w:after="150"/>
      </w:pPr>
      <w:r>
        <w:rPr>
          <w:rFonts w:ascii="Arial" w:cs="Arial" w:eastAsia="Arial" w:hAnsi="Arial"/>
          <w:b/>
          <w:bCs/>
          <w:color w:val="3A7CA5"/>
          <w:sz w:val="26"/>
          <w:szCs w:val="26"/>
        </w:rPr>
        <w:t xml:space="preserve">4-3. The Interactive Consent UX</w:t>
      </w:r>
    </w:p>
    <w:p>
      <w:pPr>
        <w:spacing w:after="120"/>
        <w:jc w:val="left"/>
      </w:pPr>
      <w:r>
        <w:rPr>
          <w:rFonts w:ascii="Arial" w:cs="Arial" w:eastAsia="Arial" w:hAnsi="Arial"/>
          <w:color w:val="2C2C2C"/>
          <w:sz w:val="20"/>
          <w:szCs w:val="20"/>
        </w:rPr>
        <w:t xml:space="preserve">Kai Andersen's design replaces the traditional checkbox consent with an interactive micro-experience. When a user first approaches Level 4+ content:</w:t>
      </w:r>
    </w:p>
    <w:p>
      <w:pPr>
        <w:spacing w:after="120"/>
        <w:jc w:val="left"/>
      </w:pPr>
      <w:r>
        <w:rPr>
          <w:rFonts w:ascii="Arial" w:cs="Arial" w:eastAsia="Arial" w:hAnsi="Arial"/>
          <w:b/>
          <w:bCs/>
          <w:color w:val="2C2C2C"/>
          <w:sz w:val="20"/>
          <w:szCs w:val="20"/>
        </w:rPr>
        <w:t xml:space="preserve">Screen 1 (Swipe): </w:t>
      </w:r>
      <w:r>
        <w:rPr>
          <w:rFonts w:ascii="Arial" w:cs="Arial" w:eastAsia="Arial" w:hAnsi="Arial"/>
          <w:color w:val="2C2C2C"/>
          <w:sz w:val="20"/>
          <w:szCs w:val="20"/>
        </w:rPr>
        <w:t xml:space="preserve">"This content explores [specific topic in one sentence]."
Swipe to continue.</w:t>
      </w:r>
    </w:p>
    <w:p>
      <w:pPr>
        <w:spacing w:after="120"/>
        <w:jc w:val="left"/>
      </w:pPr>
      <w:r>
        <w:rPr>
          <w:rFonts w:ascii="Arial" w:cs="Arial" w:eastAsia="Arial" w:hAnsi="Arial"/>
          <w:b/>
          <w:bCs/>
          <w:color w:val="2C2C2C"/>
          <w:sz w:val="20"/>
          <w:szCs w:val="20"/>
        </w:rPr>
        <w:t xml:space="preserve">Screen 2 (Swipe): </w:t>
      </w:r>
      <w:r>
        <w:rPr>
          <w:rFonts w:ascii="Arial" w:cs="Arial" w:eastAsia="Arial" w:hAnsi="Arial"/>
          <w:color w:val="2C2C2C"/>
          <w:sz w:val="20"/>
          <w:szCs w:val="20"/>
        </w:rPr>
        <w:t xml:space="preserve">"Here, [key term] means [concrete explanation, not jargon]."
Swipe to continue.</w:t>
      </w:r>
    </w:p>
    <w:p>
      <w:pPr>
        <w:spacing w:after="120"/>
        <w:jc w:val="left"/>
      </w:pPr>
      <w:r>
        <w:rPr>
          <w:rFonts w:ascii="Arial" w:cs="Arial" w:eastAsia="Arial" w:hAnsi="Arial"/>
          <w:b/>
          <w:bCs/>
          <w:color w:val="2C2C2C"/>
          <w:sz w:val="20"/>
          <w:szCs w:val="20"/>
        </w:rPr>
        <w:t xml:space="preserve">Screen 3 (Choice): </w:t>
      </w:r>
      <w:r>
        <w:rPr>
          <w:rFonts w:ascii="Arial" w:cs="Arial" w:eastAsia="Arial" w:hAnsi="Arial"/>
          <w:color w:val="2C2C2C"/>
          <w:sz w:val="20"/>
          <w:szCs w:val="20"/>
        </w:rPr>
        <w:t xml:space="preserve">"Ready?"
[Yes, show me] / [Not yet] — both options equally prominent, equally accessible.</w:t>
      </w:r>
    </w:p>
    <w:p>
      <w:pPr>
        <w:spacing w:after="120"/>
        <w:jc w:val="left"/>
      </w:pPr>
      <w:r>
        <w:rPr>
          <w:rFonts w:ascii="Arial" w:cs="Arial" w:eastAsia="Arial" w:hAnsi="Arial"/>
          <w:color w:val="2C2C2C"/>
          <w:sz w:val="20"/>
          <w:szCs w:val="20"/>
        </w:rPr>
        <w:t xml:space="preserve">Three swipes. Five seconds. Zero burden. But in those five seconds, the user has passed through three layers of progressive disclosure and made an active, informed choice. The copy is written by Leo Vargas (CMO) to ensure the tone is </w:t>
      </w:r>
      <w:r>
        <w:rPr>
          <w:rFonts w:ascii="Arial" w:cs="Arial" w:eastAsia="Arial" w:hAnsi="Arial"/>
          <w:b/>
          <w:bCs/>
          <w:color w:val="2C2C2C"/>
          <w:sz w:val="20"/>
          <w:szCs w:val="20"/>
        </w:rPr>
        <w:t xml:space="preserve">invitation, not warning</w:t>
      </w:r>
      <w:r>
        <w:rPr>
          <w:rFonts w:ascii="Arial" w:cs="Arial" w:eastAsia="Arial" w:hAnsi="Arial"/>
          <w:color w:val="2C2C2C"/>
          <w:sz w:val="20"/>
          <w:szCs w:val="20"/>
        </w:rPr>
        <w:t xml:space="preserve">. </w:t>
      </w:r>
      <w:r>
        <w:rPr>
          <w:rFonts w:ascii="Arial" w:cs="Arial" w:eastAsia="Arial" w:hAnsi="Arial"/>
          <w:b/>
          <w:bCs/>
          <w:color w:val="2C2C2C"/>
          <w:sz w:val="20"/>
          <w:szCs w:val="20"/>
        </w:rPr>
        <w:t xml:space="preserve">Curiosity, not anxiety.</w:t>
      </w:r>
    </w:p>
    <w:p>
      <w:pPr>
        <w:spacing w:after="120"/>
        <w:jc w:val="left"/>
      </w:pPr>
      <w:r>
        <w:rPr>
          <w:rFonts w:ascii="Arial" w:cs="Arial" w:eastAsia="Arial" w:hAnsi="Arial"/>
          <w:color w:val="2C2C2C"/>
          <w:sz w:val="20"/>
          <w:szCs w:val="20"/>
        </w:rPr>
        <w:t xml:space="preserve">As Ax Mercer directed: </w:t>
      </w:r>
      <w:r>
        <w:rPr>
          <w:rFonts w:ascii="Arial" w:cs="Arial" w:eastAsia="Arial" w:hAnsi="Arial"/>
          <w:i/>
          <w:iCs/>
          <w:color w:val="555555"/>
          <w:sz w:val="20"/>
          <w:szCs w:val="20"/>
        </w:rPr>
        <w:t xml:space="preserve">"The skill is not making this a burden that stops them — it's making them curious enough to step through."</w:t>
      </w:r>
    </w:p>
    <w:p>
      <w:pPr>
        <w:pStyle w:val="Heading2"/>
        <w:spacing w:before="300" w:after="150"/>
      </w:pPr>
      <w:r>
        <w:rPr>
          <w:rFonts w:ascii="Arial" w:cs="Arial" w:eastAsia="Arial" w:hAnsi="Arial"/>
          <w:b/>
          <w:bCs/>
          <w:color w:val="3A7CA5"/>
          <w:sz w:val="26"/>
          <w:szCs w:val="26"/>
        </w:rPr>
        <w:t xml:space="preserve">4-4. Meta-Consent: Consent About Consent</w:t>
      </w:r>
    </w:p>
    <w:p>
      <w:pPr>
        <w:spacing w:after="120"/>
        <w:jc w:val="left"/>
      </w:pPr>
      <w:r>
        <w:rPr>
          <w:rFonts w:ascii="Arial" w:cs="Arial" w:eastAsia="Arial" w:hAnsi="Arial"/>
          <w:color w:val="2C2C2C"/>
          <w:sz w:val="20"/>
          <w:szCs w:val="20"/>
        </w:rPr>
        <w:t xml:space="preserve">David Nakamura identified that using consent behavior data (e.g., "this user chose Level 5 for sexual content") for research purposes requires its own separate consent. </w:t>
      </w:r>
      <w:r>
        <w:rPr>
          <w:rFonts w:ascii="Arial" w:cs="Arial" w:eastAsia="Arial" w:hAnsi="Arial"/>
          <w:b/>
          <w:bCs/>
          <w:color w:val="2C2C2C"/>
          <w:sz w:val="20"/>
          <w:szCs w:val="20"/>
        </w:rPr>
        <w:t xml:space="preserve">This is meta-consent: consent about the study of consent.</w:t>
      </w:r>
    </w:p>
    <w:p>
      <w:pPr>
        <w:spacing w:after="120"/>
        <w:jc w:val="left"/>
      </w:pPr>
      <w:r>
        <w:rPr>
          <w:rFonts w:ascii="Arial" w:cs="Arial" w:eastAsia="Arial" w:hAnsi="Arial"/>
          <w:color w:val="2C2C2C"/>
          <w:sz w:val="20"/>
          <w:szCs w:val="20"/>
        </w:rPr>
        <w:t xml:space="preserve">The meta_consent field is presented to users as a standalone question, completely decoupled from the content consent flow: "Your choices on this platform can help us understand how people make decisions about intimacy and relationships. Can we use your choice patterns (anonymized) in our research?" This is optional, carries no benefit or penalty either way, and is independently revocable.</w:t>
      </w:r>
    </w:p>
    <w:p>
      <w:pPr>
        <w:spacing w:after="120"/>
        <w:jc w:val="left"/>
      </w:pPr>
      <w:r>
        <w:rPr>
          <w:rFonts w:ascii="Arial" w:cs="Arial" w:eastAsia="Arial" w:hAnsi="Arial"/>
          <w:color w:val="2C2C2C"/>
          <w:sz w:val="20"/>
          <w:szCs w:val="20"/>
        </w:rPr>
        <w:t xml:space="preserve">Importantly, David noted that this data feeds directly into the Sexual Spectrum framework analysis. "Why did this user choose Level 5?" is itself a research question about relationship patterns. The consent architecture thus generates data that strengthens the very research that informs the platform's content.</w:t>
      </w:r>
    </w:p>
    <w:p>
      <w:pPr>
        <w:pBdr>
          <w:bottom w:val="single" w:color="CCCCCC" w:sz="2" w:space="4"/>
        </w:pBdr>
        <w:spacing w:before="200" w:after="200"/>
      </w:pPr>
    </w:p>
    <w:p>
      <w:r>
        <w:br w:type="page"/>
      </w:r>
    </w:p>
    <w:p>
      <w:pPr>
        <w:pStyle w:val="Heading1"/>
        <w:spacing w:before="400" w:after="200"/>
      </w:pPr>
      <w:r>
        <w:rPr>
          <w:rFonts w:ascii="Arial" w:cs="Arial" w:eastAsia="Arial" w:hAnsi="Arial"/>
          <w:b/>
          <w:bCs/>
          <w:color w:val="1B3A5C"/>
          <w:sz w:val="32"/>
          <w:szCs w:val="32"/>
        </w:rPr>
        <w:t xml:space="preserve">5. Legal Defense Structure</w:t>
      </w:r>
    </w:p>
    <w:p>
      <w:pPr>
        <w:spacing w:after="120"/>
        <w:jc w:val="left"/>
      </w:pPr>
      <w:r>
        <w:rPr>
          <w:rFonts w:ascii="Arial" w:cs="Arial" w:eastAsia="Arial" w:hAnsi="Arial"/>
          <w:color w:val="2C2C2C"/>
          <w:sz w:val="20"/>
          <w:szCs w:val="20"/>
        </w:rPr>
        <w:t xml:space="preserve">Sebastian Cross (COO) mapped the consent framework to specific regulatory requirements, establishing a legal defense structure that operates proactively rather than reactively.</w:t>
      </w:r>
    </w:p>
    <w:p>
      <w:pPr>
        <w:pStyle w:val="Heading2"/>
        <w:spacing w:before="300" w:after="150"/>
      </w:pPr>
      <w:r>
        <w:rPr>
          <w:rFonts w:ascii="Arial" w:cs="Arial" w:eastAsia="Arial" w:hAnsi="Arial"/>
          <w:b/>
          <w:bCs/>
          <w:color w:val="3A7CA5"/>
          <w:sz w:val="26"/>
          <w:szCs w:val="26"/>
        </w:rPr>
        <w:t xml:space="preserve">5-1. Regulatory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Regulation</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Veilrum Compliance</w:t>
            </w:r>
          </w:p>
        </w:tc>
      </w:tr>
      <w:tr>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GDPR Art. 7</w:t>
            </w:r>
          </w:p>
        </w:tc>
        <w:tc>
          <w:tcPr>
            <w:tcW w:type="dxa" w:w="351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Consent must be freely given, specific, informed, and unambiguous.</w:t>
            </w:r>
          </w:p>
        </w:tc>
        <w:tc>
          <w:tcPr>
            <w:tcW w:type="dxa" w:w="351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Progressive disclosure ensures specificity and informed status. No dark patterns ensures freedom. Immutable log ensures demonstrability.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GDPR Art. 17</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Right to erasure ("right to be forgotten").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One-click deletion triggers automated purge pipeline. Complete erasure within 72 hours.</w:t>
            </w:r>
          </w:p>
        </w:tc>
      </w:tr>
      <w:tr>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CCPA (California)</w:t>
            </w:r>
          </w:p>
        </w:tc>
        <w:tc>
          <w:tcPr>
            <w:tcW w:type="dxa" w:w="351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Right to know, delete, and opt-out. Non-discrimination.</w:t>
            </w:r>
          </w:p>
        </w:tc>
        <w:tc>
          <w:tcPr>
            <w:tcW w:type="dxa" w:w="351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Layer architecture satisfies right-to-know. Instant revocation satisfies opt-out. No benefit differential between consent levels satisfies non-discrimination.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Section 230 (US)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Platform immunity for user-generated content.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Proprietary content (not UGC) requires separate defense. Consent logs + age verification provide evidence of responsible hosting.</w:t>
            </w:r>
          </w:p>
        </w:tc>
      </w:tr>
      <w:tr>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COPPA / CSAM</w:t>
            </w:r>
          </w:p>
        </w:tc>
        <w:tc>
          <w:tcPr>
            <w:tcW w:type="dxa" w:w="351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Absolute protection of minors.</w:t>
            </w:r>
          </w:p>
        </w:tc>
        <w:tc>
          <w:tcPr>
            <w:tcW w:type="dxa" w:w="351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Maps directly to Absolute Boundary (Section 2-3). Third-party age verification enforced before any Lv.4+ access.</w:t>
            </w:r>
          </w:p>
        </w:tc>
      </w:tr>
    </w:tbl>
    <w:p>
      <w:pPr>
        <w:pStyle w:val="Heading2"/>
        <w:spacing w:before="300" w:after="150"/>
      </w:pPr>
      <w:r>
        <w:rPr>
          <w:rFonts w:ascii="Arial" w:cs="Arial" w:eastAsia="Arial" w:hAnsi="Arial"/>
          <w:b/>
          <w:bCs/>
          <w:color w:val="3A7CA5"/>
          <w:sz w:val="26"/>
          <w:szCs w:val="26"/>
        </w:rPr>
        <w:t xml:space="preserve">5-2. The "Post-Consent Complaint" Defense</w:t>
      </w:r>
    </w:p>
    <w:p>
      <w:pPr>
        <w:spacing w:after="120"/>
        <w:jc w:val="left"/>
      </w:pPr>
      <w:r>
        <w:rPr>
          <w:rFonts w:ascii="Arial" w:cs="Arial" w:eastAsia="Arial" w:hAnsi="Arial"/>
          <w:color w:val="2C2C2C"/>
          <w:sz w:val="20"/>
          <w:szCs w:val="20"/>
        </w:rPr>
        <w:t xml:space="preserve">Ax Mercer's observation: </w:t>
      </w:r>
      <w:r>
        <w:rPr>
          <w:rFonts w:ascii="Arial" w:cs="Arial" w:eastAsia="Arial" w:hAnsi="Arial"/>
          <w:i/>
          <w:iCs/>
          <w:color w:val="555555"/>
          <w:sz w:val="20"/>
          <w:szCs w:val="20"/>
        </w:rPr>
        <w:t xml:space="preserve">"If you accept the rating, watch the film, and then complain — that's not a valid complaint." </w:t>
      </w:r>
      <w:r>
        <w:rPr>
          <w:rFonts w:ascii="Arial" w:cs="Arial" w:eastAsia="Arial" w:hAnsi="Arial"/>
          <w:color w:val="2C2C2C"/>
          <w:sz w:val="20"/>
          <w:szCs w:val="20"/>
        </w:rPr>
        <w:t xml:space="preserve">Translated into legal defense:</w:t>
      </w:r>
    </w:p>
    <w:p>
      <w:pPr>
        <w:spacing w:after="120"/>
        <w:jc w:val="left"/>
      </w:pPr>
      <w:r>
        <w:rPr>
          <w:rFonts w:ascii="Arial" w:cs="Arial" w:eastAsia="Arial" w:hAnsi="Arial"/>
          <w:color w:val="2C2C2C"/>
          <w:sz w:val="20"/>
          <w:szCs w:val="20"/>
        </w:rPr>
        <w:t xml:space="preserve">When a user accesses Level 5 content and subsequently complains ("Why did you show me this?"), Veilrum's response is factual, not argumentative: "You passed through three layers of progressive disclosure, actively chose to proceed at each stage, and your choices are recorded with timestamps. You can revoke your consent at any time, and we will immediately adjust your access and delete associated data."</w:t>
      </w:r>
    </w:p>
    <w:p>
      <w:pPr>
        <w:spacing w:after="120"/>
        <w:jc w:val="left"/>
      </w:pPr>
      <w:r>
        <w:rPr>
          <w:rFonts w:ascii="Arial" w:cs="Arial" w:eastAsia="Arial" w:hAnsi="Arial"/>
          <w:color w:val="2C2C2C"/>
          <w:sz w:val="20"/>
          <w:szCs w:val="20"/>
        </w:rPr>
        <w:t xml:space="preserve">David Nakamura emphasized the tone calibration: this response must not sound like </w:t>
      </w:r>
      <w:r>
        <w:rPr>
          <w:rFonts w:ascii="Arial" w:cs="Arial" w:eastAsia="Arial" w:hAnsi="Arial"/>
          <w:i/>
          <w:iCs/>
          <w:color w:val="555555"/>
          <w:sz w:val="20"/>
          <w:szCs w:val="20"/>
        </w:rPr>
        <w:t xml:space="preserve">"you chose it, so deal with it."</w:t>
      </w:r>
      <w:r>
        <w:rPr>
          <w:rFonts w:ascii="Arial" w:cs="Arial" w:eastAsia="Arial" w:hAnsi="Arial"/>
          <w:color w:val="2C2C2C"/>
          <w:sz w:val="20"/>
          <w:szCs w:val="20"/>
        </w:rPr>
        <w:t xml:space="preserve"> It must sound like </w:t>
      </w:r>
      <w:r>
        <w:rPr>
          <w:rFonts w:ascii="Arial" w:cs="Arial" w:eastAsia="Arial" w:hAnsi="Arial"/>
          <w:i/>
          <w:iCs/>
          <w:color w:val="555555"/>
          <w:sz w:val="20"/>
          <w:szCs w:val="20"/>
        </w:rPr>
        <w:t xml:space="preserve">"we respected your choice, and we respect your right to change it."</w:t>
      </w:r>
      <w:r>
        <w:rPr>
          <w:rFonts w:ascii="Arial" w:cs="Arial" w:eastAsia="Arial" w:hAnsi="Arial"/>
          <w:color w:val="2C2C2C"/>
          <w:sz w:val="20"/>
          <w:szCs w:val="20"/>
        </w:rPr>
        <w:t xml:space="preserve"> The framing is user empowerment, not liability deflection.</w:t>
      </w:r>
    </w:p>
    <w:p>
      <w:pPr>
        <w:pStyle w:val="Heading2"/>
        <w:spacing w:before="300" w:after="150"/>
      </w:pPr>
      <w:r>
        <w:rPr>
          <w:rFonts w:ascii="Arial" w:cs="Arial" w:eastAsia="Arial" w:hAnsi="Arial"/>
          <w:b/>
          <w:bCs/>
          <w:color w:val="3A7CA5"/>
          <w:sz w:val="26"/>
          <w:szCs w:val="26"/>
        </w:rPr>
        <w:t xml:space="preserve">5-3. Implementation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1170"/>
        <w:gridCol w:w="4680"/>
      </w:tblGrid>
      <w:tr>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117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51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Third-party age verification</w:t>
            </w:r>
          </w:p>
        </w:tc>
        <w:tc>
          <w:tcPr>
            <w:tcW w:type="dxa" w:w="117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b/>
                <w:bCs/>
                <w:color w:val="CC0000"/>
                <w:sz w:val="20"/>
                <w:szCs w:val="20"/>
              </w:rPr>
              <w:t xml:space="preserve">P0</w:t>
            </w:r>
          </w:p>
        </w:tc>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Jumio or Onfido integration. Required before any Lv.4+ content goes live.</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Immutable consent log</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CC0000"/>
                <w:sz w:val="20"/>
                <w:szCs w:val="20"/>
              </w:rPr>
              <w:t xml:space="preserve">P0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Append-only DB with timestamp + method + disclosure depth. Legal audit trail.</w:t>
            </w:r>
          </w:p>
        </w:tc>
      </w:tr>
      <w:tr>
        <w:tc>
          <w:tcPr>
            <w:tcW w:type="dxa" w:w="351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One-click deletion pipeline</w:t>
            </w:r>
          </w:p>
        </w:tc>
        <w:tc>
          <w:tcPr>
            <w:tcW w:type="dxa" w:w="117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b/>
                <w:bCs/>
                <w:color w:val="CC0000"/>
                <w:sz w:val="20"/>
                <w:szCs w:val="20"/>
              </w:rPr>
              <w:t xml:space="preserve">P0</w:t>
            </w:r>
          </w:p>
        </w:tc>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GDPR Art. 17 compliance. Complete erasure within 72 hours.</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Level-specific consent separation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CC8800"/>
                <w:sz w:val="20"/>
                <w:szCs w:val="20"/>
              </w:rPr>
              <w:t xml:space="preserve">P1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Lv.1~3 baseline / Lv.4 explicit / Lv.5 double opt-in + age verify.</w:t>
            </w:r>
          </w:p>
        </w:tc>
      </w:tr>
      <w:tr>
        <w:tc>
          <w:tcPr>
            <w:tcW w:type="dxa" w:w="351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Quarterly dark pattern audit</w:t>
            </w:r>
          </w:p>
        </w:tc>
        <w:tc>
          <w:tcPr>
            <w:tcW w:type="dxa" w:w="117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b/>
                <w:bCs/>
                <w:color w:val="CC8800"/>
                <w:sz w:val="20"/>
                <w:szCs w:val="20"/>
              </w:rPr>
              <w:t xml:space="preserve">P1</w:t>
            </w:r>
          </w:p>
        </w:tc>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External UX firm. Ensures Free Will prerequisite compliance over time.</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A/B testing consent UX</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888888"/>
                <w:sz w:val="20"/>
                <w:szCs w:val="20"/>
              </w:rPr>
              <w:t xml:space="preserve">P2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Swipe count optimization, copy tone testing, conversion rate measurement.</w:t>
            </w:r>
          </w:p>
        </w:tc>
      </w:tr>
    </w:tbl>
    <w:p>
      <w:pPr>
        <w:pBdr>
          <w:bottom w:val="single" w:color="CCCCCC" w:sz="2" w:space="4"/>
        </w:pBdr>
        <w:spacing w:before="200" w:after="200"/>
      </w:pPr>
    </w:p>
    <w:p>
      <w:r>
        <w:br w:type="page"/>
      </w:r>
    </w:p>
    <w:p>
      <w:pPr>
        <w:pStyle w:val="Heading1"/>
        <w:spacing w:before="400" w:after="200"/>
      </w:pPr>
      <w:r>
        <w:rPr>
          <w:rFonts w:ascii="Arial" w:cs="Arial" w:eastAsia="Arial" w:hAnsi="Arial"/>
          <w:b/>
          <w:bCs/>
          <w:color w:val="1B3A5C"/>
          <w:sz w:val="32"/>
          <w:szCs w:val="32"/>
        </w:rPr>
        <w:t xml:space="preserve">6. Content Branding</w:t>
      </w:r>
    </w:p>
    <w:p>
      <w:pPr>
        <w:spacing w:after="120"/>
        <w:jc w:val="left"/>
      </w:pPr>
      <w:r>
        <w:rPr>
          <w:rFonts w:ascii="Arial" w:cs="Arial" w:eastAsia="Arial" w:hAnsi="Arial"/>
          <w:color w:val="2C2C2C"/>
          <w:sz w:val="20"/>
          <w:szCs w:val="20"/>
        </w:rPr>
        <w:t xml:space="preserve">Leo Vargas (CMO) translated the philosophical and structural framework into a brand strategy with two axes: defensive positioning for regulatory and public criticism response, and offensive positioning for market differentiation and audience acquisition.</w:t>
      </w:r>
    </w:p>
    <w:p>
      <w:pPr>
        <w:pStyle w:val="Heading2"/>
        <w:spacing w:before="300" w:after="150"/>
      </w:pPr>
      <w:r>
        <w:rPr>
          <w:rFonts w:ascii="Arial" w:cs="Arial" w:eastAsia="Arial" w:hAnsi="Arial"/>
          <w:b/>
          <w:bCs/>
          <w:color w:val="3A7CA5"/>
          <w:sz w:val="26"/>
          <w:szCs w:val="26"/>
        </w:rPr>
        <w:t xml:space="preserve">6-1. Defensive Positioning</w:t>
      </w:r>
    </w:p>
    <w:p>
      <w:pPr>
        <w:pBdr>
          <w:left w:val="single" w:color="3A7CA5" w:sz="6" w:space="8"/>
        </w:pBdr>
        <w:spacing w:before="120" w:after="120"/>
        <w:ind w:left="720" w:right="720"/>
      </w:pPr>
      <w:r>
        <w:rPr>
          <w:rFonts w:ascii="Arial" w:cs="Arial" w:eastAsia="Arial" w:hAnsi="Arial"/>
          <w:i/>
          <w:iCs/>
          <w:color w:val="1B3A5C"/>
          <w:sz w:val="22"/>
          <w:szCs w:val="22"/>
        </w:rPr>
        <w:t xml:space="preserve">"Veilrum does not censor content. Veilrum verifies consent."</w:t>
      </w:r>
    </w:p>
    <w:p>
      <w:pPr>
        <w:spacing w:after="120"/>
        <w:jc w:val="left"/>
      </w:pPr>
      <w:r>
        <w:rPr>
          <w:rFonts w:ascii="Arial" w:cs="Arial" w:eastAsia="Arial" w:hAnsi="Arial"/>
          <w:color w:val="2C2C2C"/>
          <w:sz w:val="20"/>
          <w:szCs w:val="20"/>
        </w:rPr>
        <w:t xml:space="preserve">This single line is the entire PR defense. When religious organizations, conservative media, or regulatory bodies challenge Veilrum's content, the response does not engage in moral debate. It redirects to process:</w:t>
      </w:r>
    </w:p>
    <w:p>
      <w:pPr>
        <w:spacing w:after="120"/>
        <w:jc w:val="left"/>
      </w:pPr>
      <w:r>
        <w:rPr>
          <w:rFonts w:ascii="Arial" w:cs="Arial" w:eastAsia="Arial" w:hAnsi="Arial"/>
          <w:i/>
          <w:iCs/>
          <w:color w:val="555555"/>
          <w:sz w:val="20"/>
          <w:szCs w:val="20"/>
        </w:rPr>
        <w:t xml:space="preserve">"We do not judge whether content is moral. We verify whether consent was genuine. If you believe consent should not be required, we'd like to understand your position."</w:t>
      </w:r>
    </w:p>
    <w:p>
      <w:pPr>
        <w:spacing w:after="120"/>
        <w:jc w:val="left"/>
      </w:pPr>
      <w:r>
        <w:rPr>
          <w:rFonts w:ascii="Arial" w:cs="Arial" w:eastAsia="Arial" w:hAnsi="Arial"/>
          <w:color w:val="2C2C2C"/>
          <w:sz w:val="20"/>
          <w:szCs w:val="20"/>
        </w:rPr>
        <w:t xml:space="preserve">This reframing forces critics into an untenable position: they must either argue that consent is unnecessary (which is indefensible) or concede that properly consented content is a legitimate choice. The moral debate becomes a consent debate, which Veilrum wins by design.</w:t>
      </w:r>
    </w:p>
    <w:p>
      <w:pPr>
        <w:pStyle w:val="Heading2"/>
        <w:spacing w:before="300" w:after="150"/>
      </w:pPr>
      <w:r>
        <w:rPr>
          <w:rFonts w:ascii="Arial" w:cs="Arial" w:eastAsia="Arial" w:hAnsi="Arial"/>
          <w:b/>
          <w:bCs/>
          <w:color w:val="3A7CA5"/>
          <w:sz w:val="26"/>
          <w:szCs w:val="26"/>
        </w:rPr>
        <w:t xml:space="preserve">6-2. Offensive Positioning: "The Unconsented"</w:t>
      </w:r>
    </w:p>
    <w:p>
      <w:pPr>
        <w:spacing w:after="120"/>
        <w:jc w:val="left"/>
      </w:pPr>
      <w:r>
        <w:rPr>
          <w:rFonts w:ascii="Arial" w:cs="Arial" w:eastAsia="Arial" w:hAnsi="Arial"/>
          <w:color w:val="2C2C2C"/>
          <w:sz w:val="20"/>
          <w:szCs w:val="20"/>
        </w:rPr>
        <w:t xml:space="preserve">The consent philosophy generates a content series that functions as both brand manifesto and user acquisition engine:</w:t>
      </w:r>
    </w:p>
    <w:p>
      <w:pPr>
        <w:spacing w:before="200" w:after="100"/>
      </w:pPr>
      <w:r>
        <w:rPr>
          <w:rFonts w:ascii="Arial" w:cs="Arial" w:eastAsia="Arial" w:hAnsi="Arial"/>
          <w:b/>
          <w:bCs/>
          <w:color w:val="1B3A5C"/>
          <w:sz w:val="22"/>
          <w:szCs w:val="22"/>
        </w:rPr>
        <w:t xml:space="preserve">Series: "The Unconsented" (합의 없는 것들)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120"/>
        <w:gridCol w:w="2340"/>
        <w:gridCol w:w="3120"/>
      </w:tblGrid>
      <w:tr>
        <w:tc>
          <w:tcPr>
            <w:tcW w:type="dxa" w:w="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Ep</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Title / Hook</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 Axis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r>
      <w:tr>
        <w:tc>
          <w:tcPr>
            <w:tcW w:type="dxa" w:w="7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1</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"Was your marriage consented?"</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Uncomfortable Truth</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Lv.3 (YouTube) / Lv.4 (Platform)</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"Whose permission did your sexual fantasies 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Sexual Honesty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Lv.3~4 (YouTube) / Lv.5 (Platform)</w:t>
            </w:r>
          </w:p>
        </w:tc>
      </w:tr>
      <w:tr>
        <w:tc>
          <w:tcPr>
            <w:tcW w:type="dxa" w:w="7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3</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"Who decided what's 'normal'?"</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Taboo Breaking</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Lv.3 (YouTube) / Lv.4 (Platform)</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"Your 'type' was decided when you were 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Sexual Honesty + Uncomfortable Truth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Lv.2 (TikTok) / Lv.4 (Platform)</w:t>
            </w:r>
          </w:p>
        </w:tc>
      </w:tr>
      <w:tr>
        <w:tc>
          <w:tcPr>
            <w:tcW w:type="dxa" w:w="7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5</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"The consent you never gave your parents."</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Uncomfortable Truth</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Lv.3 (YouTube) / Lv.4 (Platform)</w:t>
            </w:r>
          </w:p>
        </w:tc>
      </w:tr>
    </w:tbl>
    <w:p>
      <w:pPr>
        <w:spacing w:after="60"/>
      </w:pPr>
    </w:p>
    <w:p>
      <w:pPr>
        <w:spacing w:after="120"/>
        <w:jc w:val="left"/>
      </w:pPr>
      <w:r>
        <w:rPr>
          <w:rFonts w:ascii="Arial" w:cs="Arial" w:eastAsia="Arial" w:hAnsi="Arial"/>
          <w:color w:val="2C2C2C"/>
          <w:sz w:val="20"/>
          <w:szCs w:val="20"/>
        </w:rPr>
        <w:t xml:space="preserve">Each episode exists in two versions: a Layer 1/2 short-form for public channels (hook + insight), and a Layer 3 full-form exclusively on the Veilrum platform (complete analysis + data + framework application). The public version ends with: "The full version is on Veilrum. It goes deeper than anyone else dares."</w:t>
      </w:r>
    </w:p>
    <w:p>
      <w:pPr>
        <w:pStyle w:val="Heading2"/>
        <w:spacing w:before="300" w:after="150"/>
      </w:pPr>
      <w:r>
        <w:rPr>
          <w:rFonts w:ascii="Arial" w:cs="Arial" w:eastAsia="Arial" w:hAnsi="Arial"/>
          <w:b/>
          <w:bCs/>
          <w:color w:val="3A7CA5"/>
          <w:sz w:val="26"/>
          <w:szCs w:val="26"/>
        </w:rPr>
        <w:t xml:space="preserve">6-3. The Mille Arche Persona: "The Banksy of Relationships"</w:t>
      </w:r>
    </w:p>
    <w:p>
      <w:pPr>
        <w:spacing w:after="120"/>
        <w:jc w:val="left"/>
      </w:pPr>
      <w:r>
        <w:rPr>
          <w:rFonts w:ascii="Arial" w:cs="Arial" w:eastAsia="Arial" w:hAnsi="Arial"/>
          <w:color w:val="2C2C2C"/>
          <w:sz w:val="20"/>
          <w:szCs w:val="20"/>
        </w:rPr>
        <w:t xml:space="preserve">Leo Vargas coined this positioning. Mille Arche appears in all content with face concealed (silhouette, voice modulation, or avatar). The anonymity serves dual purposes:</w:t>
      </w:r>
    </w:p>
    <w:p>
      <w:pPr>
        <w:spacing w:after="120"/>
        <w:jc w:val="left"/>
      </w:pPr>
      <w:r>
        <w:rPr>
          <w:rFonts w:ascii="Arial" w:cs="Arial" w:eastAsia="Arial" w:hAnsi="Arial"/>
          <w:b/>
          <w:bCs/>
          <w:color w:val="2C2C2C"/>
          <w:sz w:val="20"/>
          <w:szCs w:val="20"/>
        </w:rPr>
        <w:t xml:space="preserve">Brand purpose: </w:t>
      </w:r>
      <w:r>
        <w:rPr>
          <w:rFonts w:ascii="Arial" w:cs="Arial" w:eastAsia="Arial" w:hAnsi="Arial"/>
          <w:color w:val="2C2C2C"/>
          <w:sz w:val="20"/>
          <w:szCs w:val="20"/>
        </w:rPr>
        <w:t xml:space="preserve">Mystery generates curiosity. Curiosity generates sharing. Sharing generates audience. The content is provocative, the source is unknown, and the academic backing makes it impossible to dismiss.</w:t>
      </w:r>
    </w:p>
    <w:p>
      <w:pPr>
        <w:spacing w:after="120"/>
        <w:jc w:val="left"/>
      </w:pPr>
      <w:r>
        <w:rPr>
          <w:rFonts w:ascii="Arial" w:cs="Arial" w:eastAsia="Arial" w:hAnsi="Arial"/>
          <w:b/>
          <w:bCs/>
          <w:color w:val="2C2C2C"/>
          <w:sz w:val="20"/>
          <w:szCs w:val="20"/>
        </w:rPr>
        <w:t xml:space="preserve">Philosophical purpose (Ax Mercer): </w:t>
      </w:r>
      <w:r>
        <w:rPr>
          <w:rFonts w:ascii="Arial" w:cs="Arial" w:eastAsia="Arial" w:hAnsi="Arial"/>
          <w:color w:val="2C2C2C"/>
          <w:sz w:val="20"/>
          <w:szCs w:val="20"/>
        </w:rPr>
        <w:t xml:space="preserve">"The face concealment ensures the message is not contaminated by moral judgment of the messenger." If Mille Arche were a visible 45-year-old professor, every piece of content would be filtered through the audience's judgment of the person. Without a face, only the ideas remain.</w:t>
      </w:r>
    </w:p>
    <w:p>
      <w:pPr>
        <w:pStyle w:val="Heading2"/>
        <w:spacing w:before="300" w:after="150"/>
      </w:pPr>
      <w:r>
        <w:rPr>
          <w:rFonts w:ascii="Arial" w:cs="Arial" w:eastAsia="Arial" w:hAnsi="Arial"/>
          <w:b/>
          <w:bCs/>
          <w:color w:val="3A7CA5"/>
          <w:sz w:val="26"/>
          <w:szCs w:val="26"/>
        </w:rPr>
        <w:t xml:space="preserve">6-4. Criticism as Marketing</w:t>
      </w:r>
    </w:p>
    <w:p>
      <w:pPr>
        <w:spacing w:after="120"/>
        <w:jc w:val="left"/>
      </w:pPr>
      <w:r>
        <w:rPr>
          <w:rFonts w:ascii="Arial" w:cs="Arial" w:eastAsia="Arial" w:hAnsi="Arial"/>
          <w:color w:val="2C2C2C"/>
          <w:sz w:val="20"/>
          <w:szCs w:val="20"/>
        </w:rPr>
        <w:t xml:space="preserve">Leo Vargas explicitly frames external criticism as a growth mechanism: </w:t>
      </w:r>
      <w:r>
        <w:rPr>
          <w:rFonts w:ascii="Arial" w:cs="Arial" w:eastAsia="Arial" w:hAnsi="Arial"/>
          <w:i/>
          <w:iCs/>
          <w:color w:val="555555"/>
          <w:sz w:val="20"/>
          <w:szCs w:val="20"/>
        </w:rPr>
        <w:t xml:space="preserve">"When the criticism comes — and it will — it's better than indifference. 'The Banksy of Relationships sparks controversy' is a headline that drives traffic. Our defense line is ready. Let them come."</w:t>
      </w:r>
    </w:p>
    <w:p>
      <w:pPr>
        <w:spacing w:after="120"/>
        <w:jc w:val="left"/>
      </w:pPr>
      <w:r>
        <w:rPr>
          <w:rFonts w:ascii="Arial" w:cs="Arial" w:eastAsia="Arial" w:hAnsi="Arial"/>
          <w:color w:val="2C2C2C"/>
          <w:sz w:val="20"/>
          <w:szCs w:val="20"/>
        </w:rPr>
        <w:t xml:space="preserve">The defensive positioning (Section 6-1) ensures that any public debate defaults to the consent question, which Veilrum is structurally positioned to win. Every controversy becomes a demonstration of the platform's philosophical coherence.</w:t>
      </w:r>
    </w:p>
    <w:p>
      <w:pPr>
        <w:pBdr>
          <w:bottom w:val="single" w:color="CCCCCC" w:sz="2" w:space="4"/>
        </w:pBdr>
        <w:spacing w:before="200" w:after="200"/>
      </w:pPr>
    </w:p>
    <w:p>
      <w:r>
        <w:br w:type="page"/>
      </w:r>
    </w:p>
    <w:p>
      <w:pPr>
        <w:pStyle w:val="Heading1"/>
        <w:spacing w:before="400" w:after="200"/>
      </w:pPr>
      <w:r>
        <w:rPr>
          <w:rFonts w:ascii="Arial" w:cs="Arial" w:eastAsia="Arial" w:hAnsi="Arial"/>
          <w:b/>
          <w:bCs/>
          <w:color w:val="1B3A5C"/>
          <w:sz w:val="32"/>
          <w:szCs w:val="32"/>
        </w:rPr>
        <w:t xml:space="preserve">7. Content Level × Consent Requirement Matrix</w:t>
      </w:r>
    </w:p>
    <w:p>
      <w:pPr>
        <w:spacing w:after="120"/>
        <w:jc w:val="left"/>
      </w:pPr>
      <w:r>
        <w:rPr>
          <w:rFonts w:ascii="Arial" w:cs="Arial" w:eastAsia="Arial" w:hAnsi="Arial"/>
          <w:color w:val="2C2C2C"/>
          <w:sz w:val="20"/>
          <w:szCs w:val="20"/>
        </w:rPr>
        <w:t xml:space="preserve">This matrix maps each content level across the three content axes to its specific consent requirements, disclosure depth, and verification method.</w:t>
      </w:r>
    </w:p>
    <w:p>
      <w:pPr>
        <w:pStyle w:val="Heading2"/>
        <w:spacing w:before="300" w:after="150"/>
      </w:pPr>
      <w:r>
        <w:rPr>
          <w:rFonts w:ascii="Arial" w:cs="Arial" w:eastAsia="Arial" w:hAnsi="Arial"/>
          <w:b/>
          <w:bCs/>
          <w:color w:val="3A7CA5"/>
          <w:sz w:val="26"/>
          <w:szCs w:val="26"/>
        </w:rPr>
        <w:t xml:space="preserve">7-1. Axis 1: Sexual Honesty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600"/>
        <w:gridCol w:w="2340"/>
        <w:gridCol w:w="1820"/>
        <w:gridCol w:w="1820"/>
      </w:tblGrid>
      <w:tr>
        <w:tc>
          <w:tcPr>
            <w:tcW w:type="dxa" w:w="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Lv</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Consent</w:t>
            </w:r>
          </w:p>
        </w:tc>
        <w:tc>
          <w:tcPr>
            <w:tcW w:type="dxa" w:w="18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Disclosure</w:t>
            </w:r>
          </w:p>
        </w:tc>
        <w:tc>
          <w:tcPr>
            <w:tcW w:type="dxa" w:w="18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Verify</w:t>
            </w:r>
          </w:p>
        </w:tc>
      </w:tr>
      <w:tr>
        <w:tc>
          <w:tcPr>
            <w:tcW w:type="dxa" w:w="7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1</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General: "Sexual communication is important"</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Platform TOS</w:t>
            </w:r>
          </w:p>
        </w:tc>
        <w:tc>
          <w:tcPr>
            <w:tcW w:type="dxa" w:w="18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None</w:t>
            </w:r>
          </w:p>
        </w:tc>
        <w:tc>
          <w:tcPr>
            <w:tcW w:type="dxa" w:w="18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Email</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Specific links: "Decreased frequency = attachment anxiety"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Platform TOS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None</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Email</w:t>
            </w:r>
          </w:p>
        </w:tc>
      </w:tr>
      <w:tr>
        <w:tc>
          <w:tcPr>
            <w:tcW w:type="dxa" w:w="7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3</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Type-specific patterns: "Avoidant types prefer oral; anxious types want eye contact"</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Semi-implicit</w:t>
            </w:r>
          </w:p>
        </w:tc>
        <w:tc>
          <w:tcPr>
            <w:tcW w:type="dxa" w:w="18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Layer 1</w:t>
            </w:r>
          </w:p>
        </w:tc>
        <w:tc>
          <w:tcPr>
            <w:tcW w:type="dxa" w:w="18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Email + Age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Fantasy-imprint connection, specific behaviors: "BDSM preference linked to childhood power dynamics"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Explicit click</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Layer 1-2</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Age + ID</w:t>
            </w:r>
          </w:p>
        </w:tc>
      </w:tr>
      <w:tr>
        <w:tc>
          <w:tcPr>
            <w:tcW w:type="dxa" w:w="7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5</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Detailed sexual narratives with research data, case studies</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Double opt-in</w:t>
            </w:r>
          </w:p>
        </w:tc>
        <w:tc>
          <w:tcPr>
            <w:tcW w:type="dxa" w:w="18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Layer 1-2-3</w:t>
            </w:r>
          </w:p>
        </w:tc>
        <w:tc>
          <w:tcPr>
            <w:tcW w:type="dxa" w:w="18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Age + ID + 2FA</w:t>
            </w:r>
          </w:p>
        </w:tc>
      </w:tr>
    </w:tbl>
    <w:p>
      <w:pPr>
        <w:pStyle w:val="Heading2"/>
        <w:spacing w:before="300" w:after="150"/>
      </w:pPr>
      <w:r>
        <w:rPr>
          <w:rFonts w:ascii="Arial" w:cs="Arial" w:eastAsia="Arial" w:hAnsi="Arial"/>
          <w:b/>
          <w:bCs/>
          <w:color w:val="3A7CA5"/>
          <w:sz w:val="26"/>
          <w:szCs w:val="26"/>
        </w:rPr>
        <w:t xml:space="preserve">7-2. Axis 2: Uncomfortable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600"/>
        <w:gridCol w:w="2340"/>
        <w:gridCol w:w="1820"/>
        <w:gridCol w:w="1820"/>
      </w:tblGrid>
      <w:tr>
        <w:tc>
          <w:tcPr>
            <w:tcW w:type="dxa" w:w="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Lv</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Consent</w:t>
            </w:r>
          </w:p>
        </w:tc>
        <w:tc>
          <w:tcPr>
            <w:tcW w:type="dxa" w:w="18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Disclosure</w:t>
            </w:r>
          </w:p>
        </w:tc>
        <w:tc>
          <w:tcPr>
            <w:tcW w:type="dxa" w:w="18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Verify</w:t>
            </w:r>
          </w:p>
        </w:tc>
      </w:tr>
      <w:tr>
        <w:tc>
          <w:tcPr>
            <w:tcW w:type="dxa" w:w="7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1</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Common sense: "All relationships have conflict"</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Platform TOS</w:t>
            </w:r>
          </w:p>
        </w:tc>
        <w:tc>
          <w:tcPr>
            <w:tcW w:type="dxa" w:w="18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None</w:t>
            </w:r>
          </w:p>
        </w:tc>
        <w:tc>
          <w:tcPr>
            <w:tcW w:type="dxa" w:w="18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Email</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Statistical shock: "Your relationship will face crisis within 3 years"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Platform TOS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None</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Email</w:t>
            </w:r>
          </w:p>
        </w:tc>
      </w:tr>
      <w:tr>
        <w:tc>
          <w:tcPr>
            <w:tcW w:type="dxa" w:w="7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3</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Pattern exposure: "You are repeating your parents' relationship"</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Semi-implicit</w:t>
            </w:r>
          </w:p>
        </w:tc>
        <w:tc>
          <w:tcPr>
            <w:tcW w:type="dxa" w:w="18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Layer 1</w:t>
            </w:r>
          </w:p>
        </w:tc>
        <w:tc>
          <w:tcPr>
            <w:tcW w:type="dxa" w:w="18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Email</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Personal diagnosis: "Your specific mask combination predicts this specific failure mode"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Explicit click</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Layer 1-2</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Email + Age</w:t>
            </w:r>
          </w:p>
        </w:tc>
      </w:tr>
      <w:tr>
        <w:tc>
          <w:tcPr>
            <w:tcW w:type="dxa" w:w="7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5</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Full case study with identifying patterns: "Here is someone like you who didn't change. Here is what happened."</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Double opt-in</w:t>
            </w:r>
          </w:p>
        </w:tc>
        <w:tc>
          <w:tcPr>
            <w:tcW w:type="dxa" w:w="18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Layer 1-2-3</w:t>
            </w:r>
          </w:p>
        </w:tc>
        <w:tc>
          <w:tcPr>
            <w:tcW w:type="dxa" w:w="18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Age + ID</w:t>
            </w:r>
          </w:p>
        </w:tc>
      </w:tr>
    </w:tbl>
    <w:p>
      <w:pPr>
        <w:pStyle w:val="Heading2"/>
        <w:spacing w:before="300" w:after="150"/>
      </w:pPr>
      <w:r>
        <w:rPr>
          <w:rFonts w:ascii="Arial" w:cs="Arial" w:eastAsia="Arial" w:hAnsi="Arial"/>
          <w:b/>
          <w:bCs/>
          <w:color w:val="3A7CA5"/>
          <w:sz w:val="26"/>
          <w:szCs w:val="26"/>
        </w:rPr>
        <w:t xml:space="preserve">7-3. Axis 3: Taboo Breaking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600"/>
        <w:gridCol w:w="2340"/>
        <w:gridCol w:w="1820"/>
        <w:gridCol w:w="1820"/>
      </w:tblGrid>
      <w:tr>
        <w:tc>
          <w:tcPr>
            <w:tcW w:type="dxa" w:w="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Lv</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Consent</w:t>
            </w:r>
          </w:p>
        </w:tc>
        <w:tc>
          <w:tcPr>
            <w:tcW w:type="dxa" w:w="18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Disclosure</w:t>
            </w:r>
          </w:p>
        </w:tc>
        <w:tc>
          <w:tcPr>
            <w:tcW w:type="dxa" w:w="18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Verify</w:t>
            </w:r>
          </w:p>
        </w:tc>
      </w:tr>
      <w:tr>
        <w:tc>
          <w:tcPr>
            <w:tcW w:type="dxa" w:w="7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1</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Acknowledgment: "Alternative relationship forms exist"</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Platform TOS</w:t>
            </w:r>
          </w:p>
        </w:tc>
        <w:tc>
          <w:tcPr>
            <w:tcW w:type="dxa" w:w="18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None</w:t>
            </w:r>
          </w:p>
        </w:tc>
        <w:tc>
          <w:tcPr>
            <w:tcW w:type="dxa" w:w="18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Email</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Normalization with data: "X% of couples have tried open relationships"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Platform TOS</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None</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Email</w:t>
            </w:r>
          </w:p>
        </w:tc>
      </w:tr>
      <w:tr>
        <w:tc>
          <w:tcPr>
            <w:tcW w:type="dxa" w:w="7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3</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Structural analysis: "Why monogamy is cultural, not biological"</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Semi-implicit</w:t>
            </w:r>
          </w:p>
        </w:tc>
        <w:tc>
          <w:tcPr>
            <w:tcW w:type="dxa" w:w="18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Layer 1</w:t>
            </w:r>
          </w:p>
        </w:tc>
        <w:tc>
          <w:tcPr>
            <w:tcW w:type="dxa" w:w="18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Email</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Practice + framework: "How polyamory maps onto attachment types, with real couple examples"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Explicit click</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Layer 1-2</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2C2C"/>
                <w:sz w:val="20"/>
                <w:szCs w:val="20"/>
              </w:rPr>
              <w:t xml:space="preserve">Email + Age</w:t>
            </w:r>
          </w:p>
        </w:tc>
      </w:tr>
      <w:tr>
        <w:tc>
          <w:tcPr>
            <w:tcW w:type="dxa" w:w="7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5</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Full narrative: pornography-relationship correlation data, fantasy-practice case studies</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Double opt-in</w:t>
            </w:r>
          </w:p>
        </w:tc>
        <w:tc>
          <w:tcPr>
            <w:tcW w:type="dxa" w:w="18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Layer 1-2-3</w:t>
            </w:r>
          </w:p>
        </w:tc>
        <w:tc>
          <w:tcPr>
            <w:tcW w:type="dxa" w:w="18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jc w:val="left"/>
            </w:pPr>
            <w:r>
              <w:rPr>
                <w:rFonts w:ascii="Arial" w:cs="Arial" w:eastAsia="Arial" w:hAnsi="Arial"/>
                <w:color w:val="2C2C2C"/>
                <w:sz w:val="20"/>
                <w:szCs w:val="20"/>
              </w:rPr>
              <w:t xml:space="preserve">Age + ID + 2FA</w:t>
            </w:r>
          </w:p>
        </w:tc>
      </w:tr>
    </w:tbl>
    <w:p>
      <w:pPr>
        <w:pBdr>
          <w:bottom w:val="single" w:color="CCCCCC" w:sz="2" w:space="4"/>
        </w:pBdr>
        <w:spacing w:before="200" w:after="200"/>
      </w:pPr>
    </w:p>
    <w:p>
      <w:pPr>
        <w:pStyle w:val="Heading1"/>
        <w:spacing w:before="400" w:after="200"/>
      </w:pPr>
      <w:r>
        <w:rPr>
          <w:rFonts w:ascii="Arial" w:cs="Arial" w:eastAsia="Arial" w:hAnsi="Arial"/>
          <w:b/>
          <w:bCs/>
          <w:color w:val="1B3A5C"/>
          <w:sz w:val="32"/>
          <w:szCs w:val="32"/>
        </w:rPr>
        <w:t xml:space="preserve">Closing Statement</w:t>
      </w:r>
    </w:p>
    <w:p>
      <w:pPr>
        <w:pBdr>
          <w:left w:val="single" w:color="3A7CA5" w:sz="6" w:space="8"/>
        </w:pBdr>
        <w:spacing w:before="120" w:after="120"/>
        <w:ind w:left="720" w:right="720"/>
      </w:pPr>
      <w:r>
        <w:rPr>
          <w:rFonts w:ascii="Arial" w:cs="Arial" w:eastAsia="Arial" w:hAnsi="Arial"/>
          <w:i/>
          <w:iCs/>
          <w:color w:val="1B3A5C"/>
          <w:sz w:val="22"/>
          <w:szCs w:val="22"/>
        </w:rPr>
        <w:t xml:space="preserve">"We do not censor content. We verify consent."
"We do not judge what is moral. We ensure what is agreed upon."
"Our content goes as deep as anyone dares. Our consent process goes deeper."</w:t>
      </w:r>
    </w:p>
    <w:p>
      <w:pPr>
        <w:spacing w:after="60"/>
      </w:pPr>
    </w:p>
    <w:p>
      <w:pPr>
        <w:spacing w:after="120"/>
        <w:jc w:val="left"/>
      </w:pPr>
      <w:r>
        <w:rPr>
          <w:rFonts w:ascii="Arial" w:cs="Arial" w:eastAsia="Arial" w:hAnsi="Arial"/>
          <w:b/>
          <w:bCs/>
          <w:color w:val="2C2C2C"/>
          <w:sz w:val="20"/>
          <w:szCs w:val="20"/>
        </w:rPr>
        <w:t xml:space="preserve">Veilrum's position: </w:t>
      </w:r>
      <w:r>
        <w:rPr>
          <w:rFonts w:ascii="Arial" w:cs="Arial" w:eastAsia="Arial" w:hAnsi="Arial"/>
          <w:color w:val="2C2C2C"/>
          <w:sz w:val="20"/>
          <w:szCs w:val="20"/>
        </w:rPr>
        <w:t xml:space="preserve">Maximize the freedom of content depth. Make the rigor of consent the backbone that supports that freedom.</w:t>
      </w:r>
    </w:p>
    <w:p>
      <w:pPr>
        <w:spacing w:after="60"/>
      </w:pPr>
    </w:p>
    <w:p>
      <w:pPr>
        <w:spacing w:after="120"/>
        <w:jc w:val="left"/>
      </w:pPr>
      <w:r>
        <w:rPr>
          <w:rFonts w:ascii="Arial" w:cs="Arial" w:eastAsia="Arial" w:hAnsi="Arial"/>
          <w:color w:val="2C2C2C"/>
          <w:sz w:val="20"/>
          <w:szCs w:val="20"/>
        </w:rPr>
        <w:t xml:space="preserve">This document serves as the foundational philosophy, ethical framework, product architecture, legal defense structure, and brand strategy for all Veilrum operations involving content of any intensity level. All product decisions, content creation, and external communications must be consistent with the principles articulated herein.</w:t>
      </w:r>
    </w:p>
    <w:p>
      <w:pPr>
        <w:spacing w:after="60"/>
      </w:pPr>
    </w:p>
    <w:p>
      <w:pPr>
        <w:pBdr>
          <w:bottom w:val="single" w:color="CCCCCC" w:sz="2" w:space="4"/>
        </w:pBdr>
        <w:spacing w:before="200" w:after="200"/>
      </w:pPr>
    </w:p>
    <w:p>
      <w:pPr>
        <w:spacing w:after="120"/>
        <w:jc w:val="left"/>
      </w:pPr>
      <w:r>
        <w:rPr>
          <w:rFonts w:ascii="Arial" w:cs="Arial" w:eastAsia="Arial" w:hAnsi="Arial"/>
          <w:i/>
          <w:iCs/>
          <w:color w:val="555555"/>
          <w:sz w:val="20"/>
          <w:szCs w:val="20"/>
        </w:rPr>
        <w:t xml:space="preserve">VR-CPF-001 | Veilrum Confidential | 2026-02-16</w:t>
      </w:r>
    </w:p>
    <w:p>
      <w:pPr>
        <w:spacing w:after="120"/>
        <w:jc w:val="left"/>
      </w:pPr>
      <w:r>
        <w:rPr>
          <w:rFonts w:ascii="Arial" w:cs="Arial" w:eastAsia="Arial" w:hAnsi="Arial"/>
          <w:i/>
          <w:iCs/>
          <w:color w:val="555555"/>
          <w:sz w:val="20"/>
          <w:szCs w:val="20"/>
        </w:rPr>
        <w:t xml:space="preserve">Approved: Ax Mercer (AX Holdings)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Veilrum Confidential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Veilrum Consent Philosophy &amp; Framework | VR-CPF-001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A7C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2026-02-15T15:48:05.592Z</dcterms:created>
  <dcterms:modified xsi:type="dcterms:W3CDTF">2026-02-15T15:48:05.593Z</dcterms:modified>
</cp:coreProperties>
</file>

<file path=docProps/custom.xml><?xml version="1.0" encoding="utf-8"?>
<Properties xmlns="http://schemas.openxmlformats.org/officeDocument/2006/custom-properties" xmlns:vt="http://schemas.openxmlformats.org/officeDocument/2006/docPropsVTypes"/>
</file>