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0217d39c939f312ba82e44a773d92ddc6d92ae5"/>
    <w:p>
      <w:pPr>
        <w:pStyle w:val="Heading1"/>
      </w:pPr>
      <w:r>
        <w:t xml:space="preserve">Sub-symptom-threshold aerobic exercise for concussion: from the Buffalo test to digital, clinician-supervised delivery</w:t>
      </w:r>
    </w:p>
    <w:p>
      <w:pPr>
        <w:pStyle w:val="FirstParagraph"/>
      </w:pPr>
      <w:r>
        <w:rPr>
          <w:b/>
          <w:bCs/>
        </w:rPr>
        <w:t xml:space="preserve">Zac Lewis</w:t>
      </w:r>
      <w:r>
        <w:t xml:space="preserve">¹</w:t>
      </w:r>
    </w:p>
    <w:p>
      <w:pPr>
        <w:pStyle w:val="BodyText"/>
      </w:pPr>
      <w:r>
        <w:t xml:space="preserve">¹ Concussion Education Australia, Australia. ORCID: 0009-0002-4267-0451.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Zac Lewis, Concussion Education Australia. Email: z.lew87@gmail.com</w:t>
      </w:r>
    </w:p>
    <w:p>
      <w:pPr>
        <w:pStyle w:val="BodyText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Narrative review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concussion; mild traumatic brain injury; sub-symptom-threshold aerobic exercise; Buffalo Concussion Treadmill Test; heart-rate threshold; exercise intolerance; digital health; wearable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For two decades the default management of concussion was rest until symptom-free. A coherent body of physiological and randomised-trial evidence has now overturned that doctrine. Concussion produces a measurable, exercise-provocable autonomic phenotype —</w:t>
      </w:r>
      <w:r>
        <w:t xml:space="preserve"> </w:t>
      </w:r>
      <w:r>
        <w:rPr>
          <w:i/>
          <w:iCs/>
        </w:rPr>
        <w:t xml:space="preserve">exercise intolerance</w:t>
      </w:r>
      <w:r>
        <w:t xml:space="preserve"> </w:t>
      </w:r>
      <w:r>
        <w:t xml:space="preserve">— that can be quantified with a standardised graded treadmill test (the Buffalo Concussion Treadmill Test, BCTT) to a</w:t>
      </w:r>
      <w:r>
        <w:t xml:space="preserve"> </w:t>
      </w:r>
      <w:r>
        <w:rPr>
          <w:i/>
          <w:iCs/>
        </w:rPr>
        <w:t xml:space="preserve">heart-rate threshold</w:t>
      </w:r>
      <w:r>
        <w:t xml:space="preserve"> </w:t>
      </w:r>
      <w:r>
        <w:t xml:space="preserve">(HRt) at which symptoms are reproducibly exacerbated. Prescribing aerobic exercise</w:t>
      </w:r>
      <w:r>
        <w:t xml:space="preserve"> </w:t>
      </w:r>
      <w:r>
        <w:rPr>
          <w:i/>
          <w:iCs/>
        </w:rPr>
        <w:t xml:space="preserve">just below</w:t>
      </w:r>
      <w:r>
        <w:t xml:space="preserve"> </w:t>
      </w:r>
      <w:r>
        <w:t xml:space="preserve">that threshold (sub-symptom-threshold aerobic exercise, SSTAE) accelerates recovery and reduces the incidence of persistent post-concussive symptoms in adolescents in two independent randomised controlled trials, and is now endorsed by the 6th International Consensus Statement on Concussion in Sport (Amsterdam 2022/2023). Yet the prescription remains hard to deliver: it depends on an individualised heart-rate ceiling that must be respected on every between-visit session, in the patient’s own time, away from the clinic and the treadmill. This review traces the paradigm shift, summarises the threshold-test and SSTAE evidence with effect sizes where published, names the</w:t>
      </w:r>
      <w:r>
        <w:t xml:space="preserve"> </w:t>
      </w:r>
      <w:r>
        <w:rPr>
          <w:i/>
          <w:iCs/>
        </w:rPr>
        <w:t xml:space="preserve">implementation gap</w:t>
      </w:r>
      <w:r>
        <w:t xml:space="preserve"> </w:t>
      </w:r>
      <w:r>
        <w:t xml:space="preserve">between an evidence-based prescription and faithful delivery, and argues that a clinician-prescribed, wearable-delivered, live-monitored digital tool — with hardware-agnostic heart rate and an explicit no-fabricated-signal safety design — is the logical instrument to close it. Digital delivery of heart-rate-targeted concussion exercise is itself not new: research apps and a commercial concussion module already exist (§4.2). The contribution argued here is narrow and construct-level — a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(BCTT-derived, not age-predicted-max) heart-rate threshold, combined with</w:t>
      </w:r>
      <w:r>
        <w:t xml:space="preserve"> </w:t>
      </w:r>
      <w:r>
        <w:rPr>
          <w:i/>
          <w:iCs/>
        </w:rPr>
        <w:t xml:space="preserve">live verification-gated</w:t>
      </w:r>
      <w:r>
        <w:t xml:space="preserve"> </w:t>
      </w:r>
      <w:r>
        <w:t xml:space="preserve">heart-rate-zone training (only sessions with a real, live-verified wearable heart rate advance the training band, which is itself capped at the measured threshold) and a serial measured-HRt clinician trajectory, delivered hardware-agnostically under clinician supervision on a</w:t>
      </w:r>
      <w:r>
        <w:t xml:space="preserve"> </w:t>
      </w:r>
      <w:r>
        <w:rPr>
          <w:i/>
          <w:iCs/>
        </w:rPr>
        <w:t xml:space="preserve">no-fabricated-signal</w:t>
      </w:r>
      <w:r>
        <w:t xml:space="preserve"> </w:t>
      </w:r>
      <w:r>
        <w:t xml:space="preserve">substrate — not new physiology and not first-to-digital. SST Trainer is developed by Concussion Education Australia as the endorsed Australian-market instantiation of an established protocol, not a global platform.</w:t>
      </w:r>
    </w:p>
    <w:p>
      <w:r>
        <w:pict>
          <v:rect style="width:0;height:1.5pt" o:hralign="center" o:hrstd="t" o:hr="t"/>
        </w:pict>
      </w:r>
    </w:p>
    <w:bookmarkEnd w:id="9"/>
    <w:bookmarkStart w:id="10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This is a narrative clinical review. We searched PubMed and Google Scholar (inception to 2026) for English-language literature on concussion exercise intolerance, sub-symptom-threshold aerobic exercise, the Buffalo Concussion Treadmill Test, and digital or wearable delivery of heart-rate-targeted exercise, combining the terms</w:t>
      </w:r>
      <w:r>
        <w:t xml:space="preserve"> </w:t>
      </w:r>
      <w:r>
        <w:rPr>
          <w:i/>
          <w:iCs/>
        </w:rPr>
        <w:t xml:space="preserve">concussion</w:t>
      </w:r>
      <w:r>
        <w:t xml:space="preserve">,</w:t>
      </w:r>
      <w:r>
        <w:t xml:space="preserve"> </w:t>
      </w:r>
      <w:r>
        <w:rPr>
          <w:i/>
          <w:iCs/>
        </w:rPr>
        <w:t xml:space="preserve">sub-symptom threshold</w:t>
      </w:r>
      <w:r>
        <w:t xml:space="preserve">,</w:t>
      </w:r>
      <w:r>
        <w:t xml:space="preserve"> </w:t>
      </w:r>
      <w:r>
        <w:rPr>
          <w:i/>
          <w:iCs/>
        </w:rPr>
        <w:t xml:space="preserve">aerobic exercise</w:t>
      </w:r>
      <w:r>
        <w:t xml:space="preserve">,</w:t>
      </w:r>
      <w:r>
        <w:t xml:space="preserve"> </w:t>
      </w:r>
      <w:r>
        <w:rPr>
          <w:i/>
          <w:iCs/>
        </w:rPr>
        <w:t xml:space="preserve">exercise intolerance</w:t>
      </w:r>
      <w:r>
        <w:t xml:space="preserve">,</w:t>
      </w:r>
      <w:r>
        <w:t xml:space="preserve"> </w:t>
      </w:r>
      <w:r>
        <w:rPr>
          <w:i/>
          <w:iCs/>
        </w:rPr>
        <w:t xml:space="preserve">Buffalo Concussion Treadmill Test</w:t>
      </w:r>
      <w:r>
        <w:t xml:space="preserve">,</w:t>
      </w:r>
      <w:r>
        <w:t xml:space="preserve"> </w:t>
      </w:r>
      <w:r>
        <w:rPr>
          <w:i/>
          <w:iCs/>
        </w:rPr>
        <w:t xml:space="preserve">heart-rate threshold</w:t>
      </w:r>
      <w:r>
        <w:t xml:space="preserve">,</w:t>
      </w:r>
      <w:r>
        <w:t xml:space="preserve"> </w:t>
      </w:r>
      <w:r>
        <w:rPr>
          <w:i/>
          <w:iCs/>
        </w:rPr>
        <w:t xml:space="preserve">wearable</w:t>
      </w:r>
      <w:r>
        <w:t xml:space="preserve">, and</w:t>
      </w:r>
      <w:r>
        <w:t xml:space="preserve"> </w:t>
      </w:r>
      <w:r>
        <w:rPr>
          <w:i/>
          <w:iCs/>
        </w:rPr>
        <w:t xml:space="preserve">digital therapeutic</w:t>
      </w:r>
      <w:r>
        <w:t xml:space="preserve">. We prioritised randomised controlled trials, the international consensus statement, and primary methodological papers, supplemented by reviews and the identifiable prior-art digital tools (§4.2). As a narrative synthesis, this is</w:t>
      </w:r>
      <w:r>
        <w:t xml:space="preserve"> </w:t>
      </w:r>
      <w:r>
        <w:rPr>
          <w:b/>
          <w:bCs/>
        </w:rPr>
        <w:t xml:space="preserve">not a systematic review</w:t>
      </w:r>
      <w:r>
        <w:t xml:space="preserve">: it includes no formal protocol, screening flow, or risk-of-bias appraisal, and effect estimates are reported as published rather than pooled. Its aim is to map the evidence and the delivery gap, not to derive a new quantitative summary.</w:t>
      </w:r>
    </w:p>
    <w:p>
      <w:pPr>
        <w:pStyle w:val="BodyText"/>
      </w:pPr>
      <w:r>
        <w:rPr>
          <w:b/>
          <w:bCs/>
        </w:rPr>
        <w:t xml:space="preserve">Conflict of interest and its mitigation.</w:t>
      </w:r>
      <w:r>
        <w:t xml:space="preserve"> </w:t>
      </w:r>
      <w:r>
        <w:t xml:space="preserve">The author developed the SST Trainer software, which appears in §4 as</w:t>
      </w:r>
      <w:r>
        <w:t xml:space="preserve"> </w:t>
      </w:r>
      <w:r>
        <w:rPr>
          <w:i/>
          <w:iCs/>
        </w:rPr>
        <w:t xml:space="preserve">one disclosed illustrative instance</w:t>
      </w:r>
      <w:r>
        <w:t xml:space="preserve"> </w:t>
      </w:r>
      <w:r>
        <w:t xml:space="preserve">of the delivery requirements — not as the review’s conclusion. To limit advocacy bias: the clinical evidence (§§1–3) is presented independently of any product; the delivery requirements (§4) are stated as condition-general design principles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tool is named; existing tools, including the author’s, are then located against those principles with their interest disclosed (§4.2); and no efficacy claim is made for the author’s software.</w:t>
      </w:r>
    </w:p>
    <w:p>
      <w:r>
        <w:pict>
          <v:rect style="width:0;height:1.5pt" o:hralign="center" o:hrstd="t" o:hr="t"/>
        </w:pict>
      </w:r>
    </w:p>
    <w:bookmarkEnd w:id="10"/>
    <w:bookmarkStart w:id="14" w:name="Xc17bb64c04ed25c5f0bba969b9c809436c9357c"/>
    <w:p>
      <w:pPr>
        <w:pStyle w:val="Heading2"/>
      </w:pPr>
      <w:r>
        <w:t xml:space="preserve">1. Introduction: the rest-to-active paradigm shift</w:t>
      </w:r>
    </w:p>
    <w:bookmarkStart w:id="11" w:name="the-old-doctrine-and-why-it-failed"/>
    <w:p>
      <w:pPr>
        <w:pStyle w:val="Heading3"/>
      </w:pPr>
      <w:r>
        <w:t xml:space="preserve">1.1 The old doctrine and why it failed</w:t>
      </w:r>
    </w:p>
    <w:p>
      <w:pPr>
        <w:pStyle w:val="FirstParagraph"/>
      </w:pPr>
      <w:r>
        <w:t xml:space="preserve">Historically, concussion guidance prescribed</w:t>
      </w:r>
      <w:r>
        <w:t xml:space="preserve"> </w:t>
      </w:r>
      <w:r>
        <w:rPr>
          <w:i/>
          <w:iCs/>
        </w:rPr>
        <w:t xml:space="preserve">cognitive and physical rest until symptom resolution</w:t>
      </w:r>
      <w:r>
        <w:t xml:space="preserve"> </w:t>
      </w:r>
      <w:r>
        <w:t xml:space="preserve">—</w:t>
      </w:r>
      <w:r>
        <w:t xml:space="preserve"> </w:t>
      </w:r>
      <w:r>
        <w:t xml:space="preserve">“cocoon therapy.”</w:t>
      </w:r>
      <w:r>
        <w:t xml:space="preserve"> </w:t>
      </w:r>
      <w:r>
        <w:t xml:space="preserve">The intuition was mechanical: an injured brain should be protected from load. But prolonged rest has costs. Deconditioning, sleep disruption, mood disturbance, social isolation and nocebo-style symptom focus all compound the original injury, and there was never randomised evidence that strict rest</w:t>
      </w:r>
      <w:r>
        <w:t xml:space="preserve"> </w:t>
      </w:r>
      <w:r>
        <w:rPr>
          <w:i/>
          <w:iCs/>
        </w:rPr>
        <w:t xml:space="preserve">shortened</w:t>
      </w:r>
      <w:r>
        <w:t xml:space="preserve"> </w:t>
      </w:r>
      <w:r>
        <w:t xml:space="preserve">recovery. By the mid-2010s, the rest prescription was being actively questioned.</w:t>
      </w:r>
    </w:p>
    <w:p>
      <w:pPr>
        <w:pStyle w:val="BodyText"/>
      </w:pPr>
      <w:r>
        <w:t xml:space="preserve">The reframing that replaced it is captured in the title of Leddy and colleagues’ influential synthesis:</w:t>
      </w:r>
      <w:r>
        <w:t xml:space="preserve"> </w:t>
      </w:r>
      <w:r>
        <w:rPr>
          <w:i/>
          <w:iCs/>
        </w:rPr>
        <w:t xml:space="preserve">Exercise is Medicine for Concussion</w:t>
      </w:r>
      <w:r>
        <w:t xml:space="preserve"> </w:t>
      </w:r>
      <w:r>
        <w:t xml:space="preserve">(Leddy JJ, Haider MN, Ellis M, Willer BS.</w:t>
      </w:r>
      <w:r>
        <w:t xml:space="preserve"> </w:t>
      </w:r>
      <w:r>
        <w:rPr>
          <w:i/>
          <w:iCs/>
        </w:rPr>
        <w:t xml:space="preserve">Curr Sports Med Rep.</w:t>
      </w:r>
      <w:r>
        <w:t xml:space="preserve"> </w:t>
      </w:r>
      <w:r>
        <w:t xml:space="preserve">2018;17(8):262–270). The argument is that a meaningful proportion of post-concussion symptom burden is not structural but a disorder of</w:t>
      </w:r>
      <w:r>
        <w:t xml:space="preserve"> </w:t>
      </w:r>
      <w:r>
        <w:rPr>
          <w:i/>
          <w:iCs/>
        </w:rPr>
        <w:t xml:space="preserve">physiological regulation</w:t>
      </w:r>
      <w:r>
        <w:t xml:space="preserve"> </w:t>
      </w:r>
      <w:r>
        <w:t xml:space="preserve">— autonomic and cerebrovascular dysregulation that is provoked by exertion and, crucially, is</w:t>
      </w:r>
      <w:r>
        <w:t xml:space="preserve"> </w:t>
      </w:r>
      <w:r>
        <w:rPr>
          <w:i/>
          <w:iCs/>
        </w:rPr>
        <w:t xml:space="preserve">responsive to a graded aerobic stimulus delivered below the provocation threshold</w:t>
      </w:r>
      <w:r>
        <w:t xml:space="preserve">. Exercise, correctly dosed, is not a risk to be avoided; it is the treatment.</w:t>
      </w:r>
    </w:p>
    <w:bookmarkEnd w:id="11"/>
    <w:bookmarkStart w:id="12" w:name="X6831640e0cc77bd7dc193c245f4a1a6cef14eb0"/>
    <w:p>
      <w:pPr>
        <w:pStyle w:val="Heading3"/>
      </w:pPr>
      <w:r>
        <w:t xml:space="preserve">1.2 The physiological substrate: exercise intolerance</w:t>
      </w:r>
    </w:p>
    <w:p>
      <w:pPr>
        <w:pStyle w:val="FirstParagraph"/>
      </w:pPr>
      <w:r>
        <w:t xml:space="preserve">The clinical fingerprint of this phenotype is</w:t>
      </w:r>
      <w:r>
        <w:t xml:space="preserve"> </w:t>
      </w:r>
      <w:r>
        <w:rPr>
          <w:i/>
          <w:iCs/>
        </w:rPr>
        <w:t xml:space="preserve">exercise intolerance</w:t>
      </w:r>
      <w:r>
        <w:t xml:space="preserve">: a reproducible exacerbation of concussion symptoms at a sub-maximal level of exertion that would be unremarkable in a healthy person. Mechanistically it is attributed to autonomic nervous system dysfunction and impaired cerebral autoregulation after the injury (reviewed in</w:t>
      </w:r>
      <w:r>
        <w:t xml:space="preserve"> </w:t>
      </w:r>
      <w:r>
        <w:rPr>
          <w:i/>
          <w:iCs/>
        </w:rPr>
        <w:t xml:space="preserve">Autonomic Dysfunction and Exercise Intolerance in Concussion — A Scoping Review</w:t>
      </w:r>
      <w:r>
        <w:t xml:space="preserve">, 2024, PMC10812884). Exercise intolerance is common and clinically meaningful: in adults with persistent post-concussive symptoms, roughly 81% test positive for exercise intolerance, and a higher symptom burden is associated with higher odds of testing positive (</w:t>
      </w:r>
      <w:r>
        <w:rPr>
          <w:i/>
          <w:iCs/>
        </w:rPr>
        <w:t xml:space="preserve">Exploring Exercise Intolerance in Adult Patients with Persistent Post-Concussion Symptoms</w:t>
      </w:r>
      <w:r>
        <w:t xml:space="preserve">, PMC12604302). This matters because it means the phenotype is (a) frequent, (b) measurable, and (c) the direct target of the treatment.</w:t>
      </w:r>
    </w:p>
    <w:bookmarkEnd w:id="12"/>
    <w:bookmarkStart w:id="13" w:name="what-the-consensus-now-says"/>
    <w:p>
      <w:pPr>
        <w:pStyle w:val="Heading3"/>
      </w:pPr>
      <w:r>
        <w:t xml:space="preserve">1.3 What the consensus now says</w:t>
      </w:r>
    </w:p>
    <w:p>
      <w:pPr>
        <w:pStyle w:val="FirstParagraph"/>
      </w:pPr>
      <w:r>
        <w:t xml:space="preserve">The 6th International Consensus Statement on Concussion in Sport (Patricios JS, Schneider KJ, Dvorak J, et al. </w:t>
      </w:r>
      <w:r>
        <w:rPr>
          <w:i/>
          <w:iCs/>
        </w:rPr>
        <w:t xml:space="preserve">Br J Sports Med.</w:t>
      </w:r>
      <w:r>
        <w:t xml:space="preserve"> </w:t>
      </w:r>
      <w:r>
        <w:t xml:space="preserve">2023;57(11):695–711) codified the shift. Its position can be summarised: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Relative rest for only 24–48 hours.</w:t>
      </w:r>
      <w:r>
        <w:t xml:space="preserve"> </w:t>
      </w:r>
      <w:r>
        <w:t xml:space="preserve">Light physical activity that does not risk a second head impact (e.g. walking) is encouraged within the first 48 hours.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Early prescribed aerobic exercise.</w:t>
      </w:r>
      <w:r>
        <w:t xml:space="preserve"> </w:t>
      </w:r>
      <w:r>
        <w:t xml:space="preserve">Sub-symptom-threshold aerobic exercise initiated within roughly 2–10 days of injury is recommended; it reduces the incidence of persisting symptoms and facilitates recovery, including in those whose symptoms already exceed a month.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symptom-tolerance rule, not a symptom-free rule.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mild, transient</w:t>
      </w:r>
      <w:r>
        <w:t xml:space="preserve"> </w:t>
      </w:r>
      <w:r>
        <w:t xml:space="preserve">worsening of up to 2 points on a 0–10 scale during exercise is acceptable provided it settles within about an hour. This explicit tolerance band is what makes graded progression operable.</w:t>
      </w:r>
    </w:p>
    <w:p>
      <w:pPr>
        <w:pStyle w:val="FirstParagraph"/>
      </w:pPr>
      <w:r>
        <w:t xml:space="preserve">This is the doctrine the SST Trainer encodes. The remainder of this review establishes the evidence underneath each component — the test, the prescription, and the progression — and then names why faithful delivery is still hard.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evidence"/>
    <w:p>
      <w:pPr>
        <w:pStyle w:val="Heading2"/>
      </w:pPr>
      <w:r>
        <w:t xml:space="preserve">2. The evidence</w:t>
      </w:r>
    </w:p>
    <w:bookmarkStart w:id="15" w:name="X86c40b88c71bcda7c8d3069e1decaee22ee93de"/>
    <w:p>
      <w:pPr>
        <w:pStyle w:val="Heading3"/>
      </w:pPr>
      <w:r>
        <w:t xml:space="preserve">2.1 The Buffalo Concussion Treadmill Test (BCTT): turning a phenotype into a number</w:t>
      </w:r>
    </w:p>
    <w:p>
      <w:pPr>
        <w:pStyle w:val="FirstParagraph"/>
      </w:pPr>
      <w:r>
        <w:t xml:space="preserve">The instrument that operationalised exercise intolerance is the BCTT, a standardised graded treadmill test built on the cardiac Balke protocol (Leddy JJ, Willer B.</w:t>
      </w:r>
      <w:r>
        <w:t xml:space="preserve"> </w:t>
      </w:r>
      <w:r>
        <w:rPr>
          <w:i/>
          <w:iCs/>
        </w:rPr>
        <w:t xml:space="preserve">Use of graded exercise testing in concussion and return-to-activity management.</w:t>
      </w:r>
      <w:r>
        <w:t xml:space="preserve"> </w:t>
      </w:r>
      <w:r>
        <w:t xml:space="preserve">Curr Sports Med Rep. 2013;12(6):370–376). The protocol — walk at a fixed starting speed, then increase the incline by 1° each minute for fifteen stages, after which speed is increased — was chosen precisely because the Balke ramp is gentle, well-validated and proven safe even in cardiac patients. Heart rate, rate of perceived exertion (Borg) and a symptom-severity score are recorded</w:t>
      </w:r>
      <w:r>
        <w:t xml:space="preserve"> </w:t>
      </w:r>
      <w:r>
        <w:rPr>
          <w:i/>
          <w:iCs/>
        </w:rPr>
        <w:t xml:space="preserve">every minute</w:t>
      </w:r>
      <w:r>
        <w:t xml:space="preserve">.</w:t>
      </w:r>
    </w:p>
    <w:p>
      <w:pPr>
        <w:pStyle w:val="BodyText"/>
      </w:pPr>
      <w:r>
        <w:t xml:space="preserve">The test ends in one of three ways, and the distinction is the clinical signal: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Symptom-limited termination.</w:t>
      </w:r>
      <w:r>
        <w:t xml:space="preserve"> </w:t>
      </w:r>
      <w:r>
        <w:t xml:space="preserve">When symptoms rise by a defined amount above baseline, the test stops; the heart rate at that minute is the</w:t>
      </w:r>
      <w:r>
        <w:t xml:space="preserve"> </w:t>
      </w:r>
      <w:r>
        <w:rPr>
          <w:i/>
          <w:iCs/>
        </w:rPr>
        <w:t xml:space="preserve">heart-rate threshold (HRt)</w:t>
      </w:r>
      <w:r>
        <w:t xml:space="preserve">. This is the exercise-intolerance phenotype, and HRt is the anchor for everything that follows.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Voluntary exhaustion without symptom provocation.</w:t>
      </w:r>
      <w:r>
        <w:t xml:space="preserve"> </w:t>
      </w:r>
      <w:r>
        <w:t xml:space="preserve">The patient reaches volitional fatigue (high RPE) without provoking concussion symptoms — i.e. </w:t>
      </w:r>
      <w:r>
        <w:rPr>
          <w:i/>
          <w:iCs/>
        </w:rPr>
        <w:t xml:space="preserve">no</w:t>
      </w:r>
      <w:r>
        <w:t xml:space="preserve"> </w:t>
      </w:r>
      <w:r>
        <w:t xml:space="preserve">exercise intolerance. This is itself informative: it suggests the symptom driver is something other than the physiological phenotype (e.g. cervicogenic, vestibular, or mood) and should redirect the workup.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Red-flag termination.</w:t>
      </w:r>
      <w:r>
        <w:t xml:space="preserve"> </w:t>
      </w:r>
      <w:r>
        <w:t xml:space="preserve">Any emergency sign halts the test and routes to medical review.</w:t>
      </w:r>
    </w:p>
    <w:p>
      <w:pPr>
        <w:pStyle w:val="FirstParagraph"/>
      </w:pPr>
      <w:r>
        <w:t xml:space="preserve">The BCTT is reliable as a repeated measure (Leddy JJ, Baker JG, Kozlowski K, Bisson L, Willer B.</w:t>
      </w:r>
      <w:r>
        <w:t xml:space="preserve"> </w:t>
      </w:r>
      <w:r>
        <w:rPr>
          <w:i/>
          <w:iCs/>
        </w:rPr>
        <w:t xml:space="preserve">Reliability of a graded exercise test for assessing recovery from concussion.</w:t>
      </w:r>
      <w:r>
        <w:t xml:space="preserve"> </w:t>
      </w:r>
      <w:r>
        <w:t xml:space="preserve">Clin J Sport Med. 2011;21(2):89–94), which is what licences serial testing as a recovery curve.</w:t>
      </w:r>
    </w:p>
    <w:bookmarkEnd w:id="15"/>
    <w:bookmarkStart w:id="16" w:name="hrt-and-the-slope-are-also-prognostic"/>
    <w:p>
      <w:pPr>
        <w:pStyle w:val="Heading3"/>
      </w:pPr>
      <w:r>
        <w:t xml:space="preserve">2.2 HRt and the slope are also</w:t>
      </w:r>
      <w:r>
        <w:t xml:space="preserve"> </w:t>
      </w:r>
      <w:r>
        <w:rPr>
          <w:i/>
          <w:iCs/>
        </w:rPr>
        <w:t xml:space="preserve">prognostic</w:t>
      </w:r>
    </w:p>
    <w:p>
      <w:pPr>
        <w:pStyle w:val="FirstParagraph"/>
      </w:pPr>
      <w:r>
        <w:t xml:space="preserve">Beyond prescribing, the threshold test forecasts recovery. In adolescents with sport-related concussion, an absolute HRt below ~135 bpm is associated with prolonged (&gt;30-day) recovery, and a</w:t>
      </w:r>
      <w:r>
        <w:t xml:space="preserve"> </w:t>
      </w:r>
      <w:r>
        <w:rPr>
          <w:i/>
          <w:iCs/>
        </w:rPr>
        <w:t xml:space="preserve">blunted</w:t>
      </w:r>
      <w:r>
        <w:t xml:space="preserve"> </w:t>
      </w:r>
      <w:r>
        <w:t xml:space="preserve">heart-rate response — a change in HR of ≤50 bpm across the test — predicts prolonged recovery with roughly 73% sensitivity and 78% specificity (Haider MN, Leddy JJ, et al. </w:t>
      </w:r>
      <w:r>
        <w:rPr>
          <w:i/>
          <w:iCs/>
        </w:rPr>
        <w:t xml:space="preserve">The Predictive Capacity of the Buffalo Concussion Treadmill Test After Sport-Related Concussion in Adolescents.</w:t>
      </w:r>
      <w:r>
        <w:t xml:space="preserve"> </w:t>
      </w:r>
      <w:r>
        <w:t xml:space="preserve">Front Neurol. 2019;10:395). A test that both</w:t>
      </w:r>
      <w:r>
        <w:t xml:space="preserve"> </w:t>
      </w:r>
      <w:r>
        <w:rPr>
          <w:i/>
          <w:iCs/>
        </w:rPr>
        <w:t xml:space="preserve">prescribes the dose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flags who is likely to be slow</w:t>
      </w:r>
      <w:r>
        <w:t xml:space="preserve"> </w:t>
      </w:r>
      <w:r>
        <w:t xml:space="preserve">is unusually high-value clinically — and serial HRt becomes an objective recovery trajectory rather than a subjective symptom diary.</w:t>
      </w:r>
    </w:p>
    <w:bookmarkEnd w:id="16"/>
    <w:bookmarkStart w:id="17" w:name="Xefefcbc9c5b47b21f81bb8212cac0802686062c"/>
    <w:p>
      <w:pPr>
        <w:pStyle w:val="Heading3"/>
      </w:pPr>
      <w:r>
        <w:t xml:space="preserve">2.3 SSTAE works: the randomised evidence and its effect sizes</w:t>
      </w:r>
    </w:p>
    <w:p>
      <w:pPr>
        <w:pStyle w:val="FirstParagraph"/>
      </w:pPr>
      <w:r>
        <w:t xml:space="preserve">The therapeutic claim rests on a clean, replicated chain of randomised trials.</w:t>
      </w:r>
    </w:p>
    <w:p>
      <w:pPr>
        <w:pStyle w:val="BodyText"/>
      </w:pPr>
      <w:r>
        <w:rPr>
          <w:b/>
          <w:bCs/>
        </w:rPr>
        <w:t xml:space="preserve">Origin / proof of concept.</w:t>
      </w:r>
      <w:r>
        <w:t xml:space="preserve"> </w:t>
      </w:r>
      <w:r>
        <w:t xml:space="preserve">A preliminary subsymptom-threshold treadmill-training programme for refractory post-concussion syndrome demonstrated feasibility and symptom improvement when patients exercised most days at ~80% of their symptom-threshold heart rate (Leddy JJ, Kozlowski K, Donnelly JP, Pendergast DR, Epstein LH, Willer B.</w:t>
      </w:r>
      <w:r>
        <w:t xml:space="preserve"> </w:t>
      </w:r>
      <w:r>
        <w:rPr>
          <w:i/>
          <w:iCs/>
        </w:rPr>
        <w:t xml:space="preserve">A preliminary study of subsymptom threshold exercise training for refractory post-concussion syndrome.</w:t>
      </w:r>
      <w:r>
        <w:t xml:space="preserve"> </w:t>
      </w:r>
      <w:r>
        <w:t xml:space="preserve">Clin J Sport Med. 2010;20(1):21–27).</w:t>
      </w:r>
    </w:p>
    <w:p>
      <w:pPr>
        <w:pStyle w:val="BodyText"/>
      </w:pPr>
      <w:r>
        <w:rPr>
          <w:b/>
          <w:bCs/>
        </w:rPr>
        <w:t xml:space="preserve">Pivotal RCT (JAMA Pediatrics, 2019).</w:t>
      </w:r>
      <w:r>
        <w:t xml:space="preserve"> </w:t>
      </w:r>
      <w:r>
        <w:t xml:space="preserve">In a randomised clinical trial of 103 adolescents (ages 13–18) in the acute phase of sport-related concussion, sub-symptom-threshold aerobic exercise vs a placebo-like stretching programme accelerated recovery: median recovery</w:t>
      </w:r>
      <w:r>
        <w:t xml:space="preserve"> </w:t>
      </w:r>
      <w:r>
        <w:rPr>
          <w:b/>
          <w:bCs/>
        </w:rPr>
        <w:t xml:space="preserve">13 days vs 17 days</w:t>
      </w:r>
      <w:r>
        <w:t xml:space="preserve">, a statistically significant difference (Leddy JJ, Haider MN, Ellis MJ, et al. </w:t>
      </w:r>
      <w:r>
        <w:rPr>
          <w:i/>
          <w:iCs/>
        </w:rPr>
        <w:t xml:space="preserve">Early Subthreshold Aerobic Exercise for Sport-Related Concussion: A Randomized Clinical Trial.</w:t>
      </w:r>
      <w:r>
        <w:t xml:space="preserve"> </w:t>
      </w:r>
      <w:r>
        <w:t xml:space="preserve">JAMA Pediatr. 2019;173(4):319–325). This was the result the University at Buffalo described as potentially changing the standard of care.</w:t>
      </w:r>
    </w:p>
    <w:p>
      <w:pPr>
        <w:pStyle w:val="BodyText"/>
      </w:pPr>
      <w:r>
        <w:rPr>
          <w:b/>
          <w:bCs/>
        </w:rPr>
        <w:t xml:space="preserve">Independent multi-site replication (Lancet Child &amp; Adolescent Health, 2021).</w:t>
      </w:r>
      <w:r>
        <w:t xml:space="preserve"> </w:t>
      </w:r>
      <w:r>
        <w:t xml:space="preserve">A larger, three-site RCT of 118 adolescents presenting within 10 days of injury reproduced and extended the finding: targeted-HR sub-symptom-threshold aerobic exercise reduced median recovery time, increased the likelihood of recovery within four weeks, and</w:t>
      </w:r>
      <w:r>
        <w:t xml:space="preserve"> </w:t>
      </w:r>
      <w:r>
        <w:rPr>
          <w:b/>
          <w:bCs/>
        </w:rPr>
        <w:t xml:space="preserve">reduced the risk of persistent post-concussive symptoms by ~48%</w:t>
      </w:r>
      <w:r>
        <w:t xml:space="preserve"> </w:t>
      </w:r>
      <w:r>
        <w:t xml:space="preserve">(hazard ratio for stretching vs aerobic exercise 0·52, 95% CI 0·28–0·97, p=0·039), with good adherence and no adverse events (Leddy JJ, Master CL, Mannix R, et al. </w:t>
      </w:r>
      <w:r>
        <w:rPr>
          <w:i/>
          <w:iCs/>
        </w:rPr>
        <w:t xml:space="preserve">Early targeted heart rate aerobic exercise versus placebo stretching for sport-related concussion in adolescents: a randomised controlled trial.</w:t>
      </w:r>
      <w:r>
        <w:t xml:space="preserve"> </w:t>
      </w:r>
      <w:r>
        <w:t xml:space="preserve">Lancet Child Adolesc Health. 2021;5(11):792–799). Replication across independent sites, with prevention of</w:t>
      </w:r>
      <w:r>
        <w:t xml:space="preserve"> </w:t>
      </w:r>
      <w:r>
        <w:rPr>
          <w:i/>
          <w:iCs/>
        </w:rPr>
        <w:t xml:space="preserve">persistence</w:t>
      </w:r>
      <w:r>
        <w:t xml:space="preserve"> </w:t>
      </w:r>
      <w:r>
        <w:t xml:space="preserve">(the costly outcome) rather than only speed, is what moved SSTAE from promising to recommended.</w:t>
      </w:r>
    </w:p>
    <w:p>
      <w:pPr>
        <w:pStyle w:val="BodyText"/>
      </w:pPr>
      <w:r>
        <w:rPr>
          <w:b/>
          <w:bCs/>
        </w:rPr>
        <w:t xml:space="preserve">Supporting comparative work.</w:t>
      </w:r>
      <w:r>
        <w:t xml:space="preserve"> </w:t>
      </w:r>
      <w:r>
        <w:t xml:space="preserve">A comparison of rest vs aerobic exercise vs placebo-like treatment in male and female adolescents further supported active over rest management (Willer BS, Haider MN, Bezherano I, et al. </w:t>
      </w:r>
      <w:r>
        <w:rPr>
          <w:i/>
          <w:iCs/>
        </w:rPr>
        <w:t xml:space="preserve">Comparison of Rest to Aerobic Exercise and Placebo-like Treatment of Acute Sport-Related Concussion in Male and Female Adolescents.</w:t>
      </w:r>
      <w:r>
        <w:t xml:space="preserve"> </w:t>
      </w:r>
      <w:r>
        <w:t xml:space="preserve">Arch Phys Med Rehabil. 2019;100(12):2267–2275). Systematic synthesis for the Amsterdam process concluded that early rest beyond 24–48 hours confers no benefit and that prescribed sub-threshold aerobic exercise is beneficial (rest-and-exercise systematic review underpinning Patricios et al. 2023,</w:t>
      </w:r>
      <w:r>
        <w:t xml:space="preserve"> </w:t>
      </w:r>
      <w:r>
        <w:rPr>
          <w:i/>
          <w:iCs/>
        </w:rPr>
        <w:t xml:space="preserve">Br J Sports Med.</w:t>
      </w:r>
      <w:r>
        <w:t xml:space="preserve"> </w:t>
      </w:r>
      <w:r>
        <w:t xml:space="preserve">2023). A separate review noted that, while the adolescent evidence is strong, good-quality trials in</w:t>
      </w:r>
      <w:r>
        <w:t xml:space="preserve"> </w:t>
      </w:r>
      <w:r>
        <w:rPr>
          <w:i/>
          <w:iCs/>
        </w:rPr>
        <w:t xml:space="preserve">adults</w:t>
      </w:r>
      <w:r>
        <w:t xml:space="preserve"> </w:t>
      </w:r>
      <w:r>
        <w:t xml:space="preserve">and on broader outcomes are still needed (</w:t>
      </w:r>
      <w:r>
        <w:rPr>
          <w:i/>
          <w:iCs/>
        </w:rPr>
        <w:t xml:space="preserve">Exercise for Sport-Related Concussion and Persistent Postconcussive Symptoms</w:t>
      </w:r>
      <w:r>
        <w:t xml:space="preserve">, PMC8167349).</w:t>
      </w:r>
    </w:p>
    <w:bookmarkEnd w:id="17"/>
    <w:bookmarkStart w:id="18" w:name="prescribing-without-a-treadmill"/>
    <w:p>
      <w:pPr>
        <w:pStyle w:val="Heading3"/>
      </w:pPr>
      <w:r>
        <w:t xml:space="preserve">2.4 Prescribing without a treadmill</w:t>
      </w:r>
    </w:p>
    <w:p>
      <w:pPr>
        <w:pStyle w:val="FirstParagraph"/>
      </w:pPr>
      <w:r>
        <w:t xml:space="preserve">A practical obstacle is that not every clinician has a treadmill, an ECG and the time to run a 15-minute staged test with per-minute logging. Leddy and colleagues addressed this in two practical-management papers: one detailing how to</w:t>
      </w:r>
      <w:r>
        <w:t xml:space="preserve"> </w:t>
      </w:r>
      <w:r>
        <w:rPr>
          <w:i/>
          <w:iCs/>
        </w:rPr>
        <w:t xml:space="preserve">prescribe SSTAE in the outpatient setting</w:t>
      </w:r>
      <w:r>
        <w:t xml:space="preserve"> </w:t>
      </w:r>
      <w:r>
        <w:t xml:space="preserve">from an HRt (Leddy JJ, Haider MN, Hinds AL, Willer B.</w:t>
      </w:r>
      <w:r>
        <w:t xml:space="preserve"> </w:t>
      </w:r>
      <w:r>
        <w:rPr>
          <w:i/>
          <w:iCs/>
        </w:rPr>
        <w:t xml:space="preserve">Practical Management: Prescribing Subsymptom Threshold Aerobic Exercise for Sport-Related Concussion in the Outpatient Setting.</w:t>
      </w:r>
      <w:r>
        <w:t xml:space="preserve"> </w:t>
      </w:r>
      <w:r>
        <w:t xml:space="preserve">Clin J Sport Med. 2021;31(2):e89–e94), and one giving a</w:t>
      </w:r>
      <w:r>
        <w:t xml:space="preserve"> </w:t>
      </w:r>
      <w:r>
        <w:rPr>
          <w:i/>
          <w:iCs/>
        </w:rPr>
        <w:t xml:space="preserve">standardised programme in the absence of graded exercise testing</w:t>
      </w:r>
      <w:r>
        <w:t xml:space="preserve"> </w:t>
      </w:r>
      <w:r>
        <w:t xml:space="preserve">(Leddy JJ, et al. </w:t>
      </w:r>
      <w:r>
        <w:rPr>
          <w:i/>
          <w:iCs/>
        </w:rPr>
        <w:t xml:space="preserve">Practical Management: A Standardized Aerobic Exercise Program for Adolescents With Concussion in the Absence of Graded Exercise Testing.</w:t>
      </w:r>
      <w:r>
        <w:t xml:space="preserve"> </w:t>
      </w:r>
      <w:r>
        <w:t xml:space="preserve">Clin J Sport Med. 2023). These papers are important to the digital case: they establish that the</w:t>
      </w:r>
      <w:r>
        <w:t xml:space="preserve"> </w:t>
      </w:r>
      <w:r>
        <w:rPr>
          <w:i/>
          <w:iCs/>
        </w:rPr>
        <w:t xml:space="preserve">prescription</w:t>
      </w:r>
      <w:r>
        <w:t xml:space="preserve"> </w:t>
      </w:r>
      <w:r>
        <w:t xml:space="preserve">(a heart-rate-anchored band, ~20 min, most days, with a within-session symptom-stop rule and graded progression) is meant to be portable and repeatable — exactly the part that a guided app can carry between visits.</w:t>
      </w:r>
    </w:p>
    <w:bookmarkEnd w:id="18"/>
    <w:bookmarkStart w:id="19" w:name="what-the-prescription-actually-is"/>
    <w:p>
      <w:pPr>
        <w:pStyle w:val="Heading3"/>
      </w:pPr>
      <w:r>
        <w:t xml:space="preserve">2.5 What</w:t>
      </w:r>
      <w:r>
        <w:t xml:space="preserve"> </w:t>
      </w:r>
      <w:r>
        <w:t xml:space="preserve">“the prescription”</w:t>
      </w:r>
      <w:r>
        <w:t xml:space="preserve"> </w:t>
      </w:r>
      <w:r>
        <w:t xml:space="preserve">actually is</w:t>
      </w:r>
    </w:p>
    <w:p>
      <w:pPr>
        <w:pStyle w:val="FirstParagraph"/>
      </w:pPr>
      <w:r>
        <w:t xml:space="preserve">Distilling the above into the operational dose that the SST Trainer encodes: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Anchor:</w:t>
      </w:r>
      <w:r>
        <w:t xml:space="preserve"> </w:t>
      </w:r>
      <w:r>
        <w:t xml:space="preserve">HRt from a symptom-limited graded test (the validated provocation criterion is a symptom rise of ≥3 points from rest).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Band:</w:t>
      </w:r>
      <w:r>
        <w:t xml:space="preserve"> </w:t>
      </w:r>
      <w:r>
        <w:t xml:space="preserve">train at ~80–90% of HRt for concussion — a floor that guarantees a training stimulus and a</w:t>
      </w:r>
      <w:r>
        <w:t xml:space="preserve"> </w:t>
      </w:r>
      <w:r>
        <w:rPr>
          <w:i/>
          <w:iCs/>
        </w:rPr>
        <w:t xml:space="preserve">do-not-exceed</w:t>
      </w:r>
      <w:r>
        <w:t xml:space="preserve"> </w:t>
      </w:r>
      <w:r>
        <w:t xml:space="preserve">ceiling that keeps the patient below provocation.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Dose:</w:t>
      </w:r>
      <w:r>
        <w:t xml:space="preserve"> </w:t>
      </w:r>
      <w:r>
        <w:t xml:space="preserve">~20 minutes, most days of the week.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Within-session stop rule:</w:t>
      </w:r>
      <w:r>
        <w:t xml:space="preserve"> </w:t>
      </w:r>
      <w:r>
        <w:t xml:space="preserve">stop if symptoms rise ≥2 points above pre-session (mirroring the consensus ≤2-point tolerance band).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Progression:</w:t>
      </w:r>
      <w:r>
        <w:t xml:space="preserve"> </w:t>
      </w:r>
      <w:r>
        <w:t xml:space="preserve">advance the ceiling only after clean sessions (no within-session provocation, no next-day flare); regress on repeated provocation; re-test HRt to update precisely. Serial HRt is the recovery curve; a re-test that no longer provokes symptoms is the</w:t>
      </w:r>
      <w:r>
        <w:t xml:space="preserve"> </w:t>
      </w:r>
      <w:r>
        <w:rPr>
          <w:i/>
          <w:iCs/>
        </w:rPr>
        <w:t xml:space="preserve">return-to-activity / clearance</w:t>
      </w:r>
      <w:r>
        <w:t xml:space="preserve"> </w:t>
      </w:r>
      <w:r>
        <w:t xml:space="preserve">signal.</w:t>
      </w:r>
    </w:p>
    <w:p>
      <w:pPr>
        <w:pStyle w:val="FirstParagraph"/>
      </w:pPr>
      <w:r>
        <w:t xml:space="preserve">Every number here is taken from the cited literature, not invented.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the-implementation-gap"/>
    <w:p>
      <w:pPr>
        <w:pStyle w:val="Heading2"/>
      </w:pPr>
      <w:r>
        <w:t xml:space="preserve">3. The implementation gap</w:t>
      </w:r>
    </w:p>
    <w:p>
      <w:pPr>
        <w:pStyle w:val="FirstParagraph"/>
      </w:pPr>
      <w:r>
        <w:t xml:space="preserve">Here is the problem the evidence does not solve. The trials worked because participants were carefully prescribed an individualised HR ceiling and</w:t>
      </w:r>
      <w:r>
        <w:t xml:space="preserve"> </w:t>
      </w:r>
      <w:r>
        <w:rPr>
          <w:i/>
          <w:iCs/>
        </w:rPr>
        <w:t xml:space="preserve">adhered to it on every home session</w:t>
      </w:r>
      <w:r>
        <w:t xml:space="preserve">, with clinician oversight. In routine practice, three things break: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ceiling is individualised and invisible.</w:t>
      </w:r>
      <w:r>
        <w:t xml:space="preserve"> </w:t>
      </w:r>
      <w:r>
        <w:t xml:space="preserve">“Keep your heart rate between 124 and 140 bpm”</w:t>
      </w:r>
      <w:r>
        <w:t xml:space="preserve"> </w:t>
      </w:r>
      <w:r>
        <w:t xml:space="preserve">is not something a patient can feel. Without a live read on heart rate, the patient is guessing — and the two failure modes are opposite and both harmful: under-dosing (no therapeutic stimulus, slow recovery) or over-shooting the ceiling (symptom provocation, a flare, loss of confidence in active rehab).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treatment happens between visits, unobserved.</w:t>
      </w:r>
      <w:r>
        <w:t xml:space="preserve"> </w:t>
      </w:r>
      <w:r>
        <w:t xml:space="preserve">Unlike a clinic-based modality, SSTAE is delivered mostly at home, most days, for weeks. The clinician prescribes once and then loses sight of what actually happened — heart rates achieved, minutes completed, symptom deltas, next-day flares — until the next appointment, if it happens.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data needed to progress safely is exactly the data that is lost.</w:t>
      </w:r>
      <w:r>
        <w:t xml:space="preserve"> </w:t>
      </w:r>
      <w:r>
        <w:t xml:space="preserve">The progression decision (advance / hold / regress / refer) depends on a structured session history. On paper diaries this is incomplete, recalled, and rarely makes it into the record in a usable form. Serial HRt — the objective recovery curve and the clearance signal — is almost never captured outside a research setting.</w:t>
      </w:r>
    </w:p>
    <w:p>
      <w:pPr>
        <w:pStyle w:val="FirstParagraph"/>
      </w:pPr>
      <w:r>
        <w:t xml:space="preserve">The result is an</w:t>
      </w:r>
      <w:r>
        <w:t xml:space="preserve"> </w:t>
      </w:r>
      <w:r>
        <w:rPr>
          <w:i/>
          <w:iCs/>
        </w:rPr>
        <w:t xml:space="preserve">evidence-practice gap</w:t>
      </w:r>
      <w:r>
        <w:t xml:space="preserve">: a recommended, replicated, consensus-endorsed treatment whose efficacy depends on faithful between-visit delivery and monitoring that ordinary clinical workflows do not provide.</w:t>
      </w:r>
    </w:p>
    <w:p>
      <w:r>
        <w:pict>
          <v:rect style="width:0;height:1.5pt" o:hralign="center" o:hrstd="t" o:hr="t"/>
        </w:pict>
      </w:r>
    </w:p>
    <w:bookmarkEnd w:id="21"/>
    <w:bookmarkStart w:id="24" w:name="X6bb811a9d3a0fda6375137457c75ea8d8de1970"/>
    <w:p>
      <w:pPr>
        <w:pStyle w:val="Heading2"/>
      </w:pPr>
      <w:r>
        <w:t xml:space="preserve">4. What faithful delivery requires (design principles)</w:t>
      </w:r>
    </w:p>
    <w:p>
      <w:pPr>
        <w:pStyle w:val="FirstParagraph"/>
      </w:pPr>
      <w:r>
        <w:t xml:space="preserve">The implementation gap defines a set of</w:t>
      </w:r>
      <w:r>
        <w:t xml:space="preserve"> </w:t>
      </w:r>
      <w:r>
        <w:rPr>
          <w:i/>
          <w:iCs/>
        </w:rPr>
        <w:t xml:space="preserve">requirements</w:t>
      </w:r>
      <w:r>
        <w:t xml:space="preserve"> </w:t>
      </w:r>
      <w:r>
        <w:t xml:space="preserve">that any faithful delivery of SSTAE must meet — stated here independently of any vendor or product. We give them as design principles first; §4.2 then locates the existing tools (including, with disclosed interest, the author’s) against them. The argument is deliberately modest:</w:t>
      </w:r>
      <w:r>
        <w:t xml:space="preserve"> </w:t>
      </w:r>
      <w:r>
        <w:rPr>
          <w:b/>
          <w:bCs/>
        </w:rPr>
        <w:t xml:space="preserve">the physiology is not new; what the field lacks is faithful, verifiable, monitored delivery between visits.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Make the invisible ceiling visible and live.</w:t>
      </w:r>
      <w:r>
        <w:t xml:space="preserve"> </w:t>
      </w:r>
      <w:r>
        <w:t xml:space="preserve">A continuous heart-rate read, shown against the prescribed band in real time, converts an abstract bpm range into a moment-to-moment</w:t>
      </w:r>
      <w:r>
        <w:t xml:space="preserve"> </w:t>
      </w:r>
      <w:r>
        <w:t xml:space="preserve">“in zone / over / under”</w:t>
      </w:r>
      <w:r>
        <w:t xml:space="preserve"> </w:t>
      </w:r>
      <w:r>
        <w:t xml:space="preserve">signal. This is the single change that makes faithful self-dosing possible.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 hardware-agnostic so the ceiling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always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available.</w:t>
      </w:r>
      <w:r>
        <w:t xml:space="preserve"> </w:t>
      </w:r>
      <w:r>
        <w:t xml:space="preserve">Adherence dies on friction. A tool that accepts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wearable broadcasting the standard Bluetooth Heart Rate profile (Garmin, Polar, WHOOP, Coros, Suunto, Wahoo and any chest strap) — read via Web Bluetooth on Android/desktop browsers and via native CoreBluetooth/Android-BLE in the iOS and Android apps, so the same sensor works on every platform —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clinician manual entry meets the patient where they are rather than mandating a purchase. Two limits are stated honestly: a phone-camera photoplethysmography (PPG) estimate is offered only as a</w:t>
      </w:r>
      <w:r>
        <w:t xml:space="preserve"> </w:t>
      </w:r>
      <w:r>
        <w:rPr>
          <w:i/>
          <w:iCs/>
        </w:rPr>
        <w:t xml:space="preserve">resting spot-check</w:t>
      </w:r>
      <w:r>
        <w:t xml:space="preserve">, because motion artefact makes camera PPG unreliable during exercise, so it is never used to drive a live training session; and two widely owned wrist devices — Apple Watch and Fitbit — do not broadcast standard BLE heart rate, so those users fall back to a chest strap or manual entry. Heart rate is the load-bearing measurement; sourcing it must never be the blocker.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Refuse to fabricate the signal, and let only verified signal advance the dose.</w:t>
      </w:r>
      <w:r>
        <w:t xml:space="preserve"> </w:t>
      </w:r>
      <w:r>
        <w:t xml:space="preserve">This is a safety property, not a feature. Because the prescription is a</w:t>
      </w:r>
      <w:r>
        <w:t xml:space="preserve"> </w:t>
      </w:r>
      <w:r>
        <w:rPr>
          <w:i/>
          <w:iCs/>
        </w:rPr>
        <w:t xml:space="preserve">heart-rate ceiling</w:t>
      </w:r>
      <w:r>
        <w:t xml:space="preserve">, a wrong or invented bpm is a clinical hazard — it can wave a patient past their provocation threshold. The tool must only ever display a heart rate it actually measured (a real BLE packet, or a real resting-PPG estimate that passed a periodicity-confidence gate) and must show</w:t>
      </w:r>
      <w:r>
        <w:t xml:space="preserve"> </w:t>
      </w:r>
      <w:r>
        <w:t xml:space="preserve">“no reading”</w:t>
      </w:r>
      <w:r>
        <w:t xml:space="preserve"> </w:t>
      </w:r>
      <w:r>
        <w:t xml:space="preserve">rather than guess; there is no simulated number anywhere in the path. A second, stronger rule governs</w:t>
      </w:r>
      <w:r>
        <w:t xml:space="preserve"> </w:t>
      </w:r>
      <w:r>
        <w:rPr>
          <w:i/>
          <w:iCs/>
        </w:rPr>
        <w:t xml:space="preserve">progression</w:t>
      </w:r>
      <w:r>
        <w:t xml:space="preserve">: only a session whose heart rate was live-verified against a broadcasting wearable may advance the training band, and the band never ratchets past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threshold — a fresh graded re-test is the only way to raise it further. Manual or unverified sessions still count fully for safety (they can trigger a hold or regression) but can never push the ceiling up on trust alone.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Carry the safety logic, not just the timer.</w:t>
      </w:r>
      <w:r>
        <w:t xml:space="preserve"> </w:t>
      </w:r>
      <w:r>
        <w:t xml:space="preserve">The within-session ≥2-point symptom-stop rule, the red-flag halt-and-refer path, and the requirement for a</w:t>
      </w:r>
      <w:r>
        <w:t xml:space="preserve"> </w:t>
      </w:r>
      <w:r>
        <w:rPr>
          <w:i/>
          <w:iCs/>
        </w:rPr>
        <w:t xml:space="preserve">symptom-limited</w:t>
      </w:r>
      <w:r>
        <w:t xml:space="preserve"> </w:t>
      </w:r>
      <w:r>
        <w:t xml:space="preserve">(not exhaustion-limited) test to even yield an HRt are all encoded so the guardrails travel with the patient between visits.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Let the treatment follow the patient and report back.</w:t>
      </w:r>
      <w:r>
        <w:t xml:space="preserve"> </w:t>
      </w:r>
      <w:r>
        <w:t xml:space="preserve">When the patient enters a clinic code, each threshold test and training session syncs to the clinician — HRt trajectory, prescribed band, minutes, symptom deltas, next-day flares — and, while a session is running, a live tick lets the clinician watch in real time. Serial HRt becomes the recovery curve in the record; a re-test that no longer provokes symptoms surfaces automatically as a</w:t>
      </w:r>
      <w:r>
        <w:t xml:space="preserve"> </w:t>
      </w:r>
      <w:r>
        <w:rPr>
          <w:i/>
          <w:iCs/>
        </w:rPr>
        <w:t xml:space="preserve">clearance-review</w:t>
      </w:r>
      <w:r>
        <w:t xml:space="preserve"> </w:t>
      </w:r>
      <w:r>
        <w:t xml:space="preserve">signal. Self-guided users (no clinic code) simply send nothing.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Stay inside the prescriber relationship — a clinician-directed assistant, not a medical device.</w:t>
      </w:r>
      <w:r>
        <w:t xml:space="preserve"> </w:t>
      </w:r>
      <w:r>
        <w:t xml:space="preserve">This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consumer self-diagnosis product, and it is positioned as a</w:t>
      </w:r>
      <w:r>
        <w:t xml:space="preserve"> </w:t>
      </w:r>
      <w:r>
        <w:rPr>
          <w:b/>
          <w:bCs/>
        </w:rPr>
        <w:t xml:space="preserve">clinician-directed rehab-assistance and monitoring/data tool rather than a diagnostic or treatment medical device.</w:t>
      </w:r>
      <w:r>
        <w:t xml:space="preserve"> </w:t>
      </w:r>
      <w:r>
        <w:t xml:space="preserve">The qualified clinician runs/oversees the threshold test, interprets it, sets the heart-rate band, owns the prescription, approves progression, and clears return to activity; the software only executes, paces, monitors, and records. It</w:t>
      </w:r>
      <w:r>
        <w:t xml:space="preserve"> </w:t>
      </w:r>
      <w:r>
        <w:rPr>
          <w:i/>
          <w:iCs/>
        </w:rPr>
        <w:t xml:space="preserve">informs; it never decides.</w:t>
      </w:r>
      <w:r>
        <w:t xml:space="preserve"> </w:t>
      </w:r>
      <w:r>
        <w:t xml:space="preserve">That division is what keeps the tool within the</w:t>
      </w:r>
      <w:r>
        <w:t xml:space="preserve"> </w:t>
      </w:r>
      <w:r>
        <w:rPr>
          <w:b/>
          <w:bCs/>
        </w:rPr>
        <w:t xml:space="preserve">clinical-decision-support carve-out</w:t>
      </w:r>
      <w:r>
        <w:t xml:space="preserve"> </w:t>
      </w:r>
      <w:r>
        <w:t xml:space="preserve">(FDA 21st Century Cures Act §3060; TGA’s CDS exclusion) and out of FDA SaMD / TGA medical-device classification — analogous to the way an ambulatory blood-pressure monitor extends a cardiologist’s reach without making the clinical decision. The tool makes no claim to</w:t>
      </w:r>
      <w:r>
        <w:t xml:space="preserve"> </w:t>
      </w:r>
      <w:r>
        <w:rPr>
          <w:i/>
          <w:iCs/>
        </w:rPr>
        <w:t xml:space="preserve">treat, diagnose, or clear</w:t>
      </w:r>
      <w:r>
        <w:t xml:space="preserve"> </w:t>
      </w:r>
      <w:r>
        <w:t xml:space="preserve">concussion; patient-facing it is a</w:t>
      </w:r>
      <w:r>
        <w:t xml:space="preserve"> </w:t>
      </w:r>
      <w:r>
        <w:t xml:space="preserve">“heart-rate-guided exercise companion”</w:t>
      </w:r>
      <w:r>
        <w:t xml:space="preserve"> </w:t>
      </w:r>
      <w:r>
        <w:t xml:space="preserve">with symptom-stop and seek-clinician disclaimers. This positioning</w:t>
      </w:r>
      <w:r>
        <w:t xml:space="preserve"> </w:t>
      </w:r>
      <w:r>
        <w:rPr>
          <w:i/>
          <w:iCs/>
        </w:rPr>
        <w:t xml:space="preserve">reduces but does not guarantee</w:t>
      </w:r>
      <w:r>
        <w:t xml:space="preserve"> </w:t>
      </w:r>
      <w:r>
        <w:t xml:space="preserve">non-device status — claims and intended use drive classification — so a SaMD scoping opinion should be obtained before launch.</w:t>
      </w:r>
    </w:p>
    <w:bookmarkStart w:id="22" w:name="why-active-and-not-pacing"/>
    <w:p>
      <w:pPr>
        <w:pStyle w:val="Heading3"/>
      </w:pPr>
      <w:r>
        <w:t xml:space="preserve">4.1 Why</w:t>
      </w:r>
      <w:r>
        <w:t xml:space="preserve"> </w:t>
      </w:r>
      <w:r>
        <w:t xml:space="preserve">“active”</w:t>
      </w:r>
      <w:r>
        <w:t xml:space="preserve"> </w:t>
      </w:r>
      <w:r>
        <w:t xml:space="preserve">and not</w:t>
      </w:r>
      <w:r>
        <w:t xml:space="preserve"> </w:t>
      </w:r>
      <w:r>
        <w:t xml:space="preserve">“pacing”</w:t>
      </w:r>
    </w:p>
    <w:p>
      <w:pPr>
        <w:pStyle w:val="FirstParagraph"/>
      </w:pPr>
      <w:r>
        <w:t xml:space="preserve">It is worth distinguishing this from the better-known consumer category. Pacing apps for ME/CFS and long-COVID (e.g. Visible, which also uses camera-PPG for heart-rate/HRV) are built to help users</w:t>
      </w:r>
      <w:r>
        <w:t xml:space="preserve"> </w:t>
      </w:r>
      <w:r>
        <w:rPr>
          <w:i/>
          <w:iCs/>
        </w:rPr>
        <w:t xml:space="preserve">avoid</w:t>
      </w:r>
      <w:r>
        <w:t xml:space="preserve"> </w:t>
      </w:r>
      <w:r>
        <w:t xml:space="preserve">exertion and stay under an energy ceiling to prevent post-exertional malaise. That is the right goal in those conditions. The SSTAE prescription is the</w:t>
      </w:r>
      <w:r>
        <w:t xml:space="preserve"> </w:t>
      </w:r>
      <w:r>
        <w:rPr>
          <w:i/>
          <w:iCs/>
        </w:rPr>
        <w:t xml:space="preserve">active-rehabilitation counterpart</w:t>
      </w:r>
      <w:r>
        <w:t xml:space="preserve">: the heart-rate band is a therapeutic</w:t>
      </w:r>
      <w:r>
        <w:t xml:space="preserve"> </w:t>
      </w:r>
      <w:r>
        <w:rPr>
          <w:i/>
          <w:iCs/>
        </w:rPr>
        <w:t xml:space="preserve">target to train within</w:t>
      </w:r>
      <w:r>
        <w:t xml:space="preserve">, not merely a ceiling to stay under, and the explicit aim is to progressively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it as tolerance recovers. Same wearable substrate; opposite therapeutic intent. Conflating the two would be a clinical error, which is why the tool frames the band as a prescribed training zone with a clinician-owned progression, not as an exertion alarm.</w:t>
      </w:r>
    </w:p>
    <w:p>
      <w:r>
        <w:pict>
          <v:rect style="width:0;height:1.5pt" o:hralign="center" o:hrstd="t" o:hr="t"/>
        </w:pict>
      </w:r>
    </w:p>
    <w:bookmarkEnd w:id="22"/>
    <w:bookmarkStart w:id="23" w:name="Xe07dc316fc9c296e7b2ad198a22c4f0f6dcd972"/>
    <w:p>
      <w:pPr>
        <w:pStyle w:val="Heading3"/>
      </w:pPr>
      <w:r>
        <w:t xml:space="preserve">4.2 What already exists — and the narrow, honest novelty</w:t>
      </w:r>
    </w:p>
    <w:p>
      <w:pPr>
        <w:pStyle w:val="FirstParagraph"/>
      </w:pPr>
      <w:r>
        <w:t xml:space="preserve">It would be wrong to imply that no one has digitised this prescription. The honest claim must be made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existing prior art, which this review extends rather than ignores:</w:t>
      </w:r>
    </w:p>
    <w:p>
      <w:pPr>
        <w:pStyle w:val="Compact"/>
        <w:numPr>
          <w:ilvl w:val="0"/>
          <w:numId w:val="1006"/>
        </w:numPr>
      </w:pPr>
      <w:r>
        <w:t xml:space="preserve">A concussion rehabilitation app (</w:t>
      </w:r>
      <w:r>
        <w:rPr>
          <w:i/>
          <w:iCs/>
        </w:rPr>
        <w:t xml:space="preserve">Rhea Health</w:t>
      </w:r>
      <w:r>
        <w:t xml:space="preserve">, a University of Toronto spin-out — founder Michael Hutchison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affiliated with the Buffalo group whose measured-threshold method is described above) already delivers heart-rate-targeted aerobic prescription, but guides users to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~60% ± 5% of</w:t>
      </w:r>
      <w:r>
        <w:t xml:space="preserve"> </w:t>
      </w:r>
      <w:r>
        <w:rPr>
          <w:b/>
          <w:bCs/>
        </w:rPr>
        <w:t xml:space="preserve">age-predicted maximal heart rate</w:t>
      </w:r>
      <w:r>
        <w:t xml:space="preserve"> </w:t>
      </w:r>
      <w:r>
        <w:t xml:space="preserve">(220 − age) with</w:t>
      </w:r>
      <w:r>
        <w:t xml:space="preserve"> </w:t>
      </w:r>
      <w:r>
        <w:rPr>
          <w:b/>
          <w:bCs/>
        </w:rPr>
        <w:t xml:space="preserve">no graded test to individualise the threshold</w:t>
      </w:r>
      <w:r>
        <w:t xml:space="preserve">; its only individualisation is in-app same/better/worse symptom feedback, and it reports no dedicated clinician dashboard (Chizuk et al.,</w:t>
      </w:r>
      <w:r>
        <w:t xml:space="preserve"> </w:t>
      </w:r>
      <w:r>
        <w:rPr>
          <w:i/>
          <w:iCs/>
        </w:rPr>
        <w:t xml:space="preserve">JMIR Form Res</w:t>
      </w:r>
      <w:r>
        <w:t xml:space="preserve"> </w:t>
      </w:r>
      <w:r>
        <w:t xml:space="preserve">2025;e67275). An RCT has likewise delivered early aerobic exercise using a</w:t>
      </w:r>
      <w:r>
        <w:t xml:space="preserve"> </w:t>
      </w:r>
      <w:r>
        <w:rPr>
          <w:b/>
          <w:bCs/>
        </w:rPr>
        <w:t xml:space="preserve">progressive percentage of age-predicted-max HR</w:t>
      </w:r>
      <w:r>
        <w:t xml:space="preserve"> </w:t>
      </w:r>
      <w:r>
        <w:t xml:space="preserve">(</w:t>
      </w:r>
      <w:r>
        <w:rPr>
          <w:i/>
          <w:iCs/>
        </w:rPr>
        <w:t xml:space="preserve">PLOS One</w:t>
      </w:r>
      <w:r>
        <w:t xml:space="preserve">, 2022).</w:t>
      </w:r>
    </w:p>
    <w:p>
      <w:pPr>
        <w:pStyle w:val="Compact"/>
        <w:numPr>
          <w:ilvl w:val="0"/>
          <w:numId w:val="1006"/>
        </w:numPr>
      </w:pPr>
      <w:r>
        <w:t xml:space="preserve">Between-visit mHealth symptom monitoring with structured return of data to clinicians is published (remote patient monitoring of concussed adolescents,</w:t>
      </w:r>
      <w:r>
        <w:t xml:space="preserve"> </w:t>
      </w:r>
      <w:r>
        <w:rPr>
          <w:i/>
          <w:iCs/>
        </w:rPr>
        <w:t xml:space="preserve">JMIR-family</w:t>
      </w:r>
      <w:r>
        <w:t xml:space="preserve">, 2024).</w:t>
      </w:r>
    </w:p>
    <w:p>
      <w:pPr>
        <w:pStyle w:val="Compact"/>
        <w:numPr>
          <w:ilvl w:val="0"/>
          <w:numId w:val="1006"/>
        </w:numPr>
      </w:pPr>
      <w:r>
        <w:t xml:space="preserve">The pivotal Buffalo trials themselves delivered individualised HRt-based home exercise with</w:t>
      </w:r>
      <w:r>
        <w:t xml:space="preserve"> </w:t>
      </w:r>
      <w:r>
        <w:rPr>
          <w:b/>
          <w:bCs/>
        </w:rPr>
        <w:t xml:space="preserve">wearable HR monitoring</w:t>
      </w:r>
      <w:r>
        <w:t xml:space="preserve"> </w:t>
      </w:r>
      <w:r>
        <w:t xml:space="preserve">(80% of HRt with a Polar monitor,</w:t>
      </w:r>
      <w:r>
        <w:t xml:space="preserve"> </w:t>
      </w:r>
      <w:r>
        <w:rPr>
          <w:i/>
          <w:iCs/>
        </w:rPr>
        <w:t xml:space="preserve">JAMA Pediatr.</w:t>
      </w:r>
      <w:r>
        <w:t xml:space="preserve"> </w:t>
      </w:r>
      <w:r>
        <w:t xml:space="preserve">2019; serial-HRt-updated prescription with weekly BCTT recheck,</w:t>
      </w:r>
      <w:r>
        <w:t xml:space="preserve"> </w:t>
      </w:r>
      <w:r>
        <w:rPr>
          <w:i/>
          <w:iCs/>
        </w:rPr>
        <w:t xml:space="preserve">Lancet Child Adolesc Health</w:t>
      </w:r>
      <w:r>
        <w:t xml:space="preserve"> </w:t>
      </w:r>
      <w:r>
        <w:t xml:space="preserve">2021) — but the Buffalo program is a research method with no commercial app; SST productises its measured-threshold approach rather than re-packaging a Buffalo product.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commercial</w:t>
      </w:r>
      <w:r>
        <w:t xml:space="preserve"> </w:t>
      </w:r>
      <w:r>
        <w:t xml:space="preserve">concussion exercise-prescription module exists and is reaching Australia: the CCMI + Wibbi partnership (Dec 2025) embeds concussion protocols in a digital home-exercise-program platform with outcome tracking. CCMI’s BCTT-derived HRt is, however, measured once</w:t>
      </w:r>
      <w:r>
        <w:t xml:space="preserve"> </w:t>
      </w:r>
      <w:r>
        <w:rPr>
          <w:i/>
          <w:iCs/>
        </w:rPr>
        <w:t xml:space="preserve">on paper in clinic</w:t>
      </w:r>
      <w:r>
        <w:t xml:space="preserve">, not delivered digitally, and its tracking is of symptom/outcome scores rather than a serial measured-HRt curve.</w:t>
      </w:r>
    </w:p>
    <w:p>
      <w:pPr>
        <w:pStyle w:val="Compact"/>
        <w:numPr>
          <w:ilvl w:val="0"/>
          <w:numId w:val="1006"/>
        </w:numPr>
      </w:pPr>
      <w:r>
        <w:t xml:space="preserve">Concussion</w:t>
      </w:r>
      <w:r>
        <w:t xml:space="preserve"> </w:t>
      </w:r>
      <w:r>
        <w:rPr>
          <w:b/>
          <w:bCs/>
        </w:rPr>
        <w:t xml:space="preserve">assessment</w:t>
      </w:r>
      <w:r>
        <w:t xml:space="preserve"> </w:t>
      </w:r>
      <w:r>
        <w:t xml:space="preserve">platforms (Sway [FDA 510(k)-cleared], C3 Logix, HeadCheck, ImPACT) digitise symptom, balance and cognitive testing but carry</w:t>
      </w:r>
      <w:r>
        <w:t xml:space="preserve"> </w:t>
      </w:r>
      <w:r>
        <w:rPr>
          <w:b/>
          <w:bCs/>
        </w:rPr>
        <w:t xml:space="preserve">no exertion or heart-rate-guided therapy</w:t>
      </w:r>
      <w:r>
        <w:t xml:space="preserve">; and supervised heart-rate-zone training is proven at scale in</w:t>
      </w:r>
      <w:r>
        <w:t xml:space="preserve"> </w:t>
      </w:r>
      <w:r>
        <w:rPr>
          <w:i/>
          <w:iCs/>
        </w:rPr>
        <w:t xml:space="preserve">cardiac</w:t>
      </w:r>
      <w:r>
        <w:t xml:space="preserve"> </w:t>
      </w:r>
      <w:r>
        <w:t xml:space="preserve">rehabilitation apps (e.g. Moving Analytics, Recora) but has not been applied to concussion.</w:t>
      </w:r>
    </w:p>
    <w:p>
      <w:pPr>
        <w:pStyle w:val="FirstParagraph"/>
      </w:pPr>
      <w:r>
        <w:t xml:space="preserve">Against that backdrop, the defensible contribution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“first digital delivery.”</w:t>
      </w:r>
      <w:r>
        <w:t xml:space="preserve"> </w:t>
      </w:r>
      <w:r>
        <w:t xml:space="preserve">It is narrower and construct-level:</w:t>
      </w:r>
      <w:r>
        <w:t xml:space="preserve"> </w:t>
      </w:r>
      <w:r>
        <w:rPr>
          <w:b/>
          <w:bCs/>
        </w:rPr>
        <w:t xml:space="preserve">to our knowledge, no commercially available concussion product delivers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measured</w:t>
      </w:r>
      <w:r>
        <w:rPr>
          <w:b/>
          <w:bCs/>
        </w:rPr>
        <w:t xml:space="preserve"> </w:t>
      </w:r>
      <w:r>
        <w:rPr>
          <w:b/>
          <w:bCs/>
        </w:rPr>
        <w:t xml:space="preserve">heart-rate threshold (BCTT-derived, not age-predicted-max)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plus</w:t>
      </w:r>
      <w:r>
        <w:rPr>
          <w:b/>
          <w:bCs/>
        </w:rPr>
        <w:t xml:space="preserve"> </w:t>
      </w:r>
      <w:r>
        <w:rPr>
          <w:b/>
          <w:bCs/>
        </w:rPr>
        <w:t xml:space="preserve">live verification-gated heart-rate-zone training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plus</w:t>
      </w:r>
      <w:r>
        <w:rPr>
          <w:b/>
          <w:bCs/>
        </w:rPr>
        <w:t xml:space="preserve"> </w:t>
      </w:r>
      <w:r>
        <w:rPr>
          <w:b/>
          <w:bCs/>
        </w:rPr>
        <w:t xml:space="preserve">a serial measured-HRt clinician trajectory in one tool</w:t>
      </w:r>
      <w:r>
        <w:t xml:space="preserve"> </w:t>
      </w:r>
      <w:r>
        <w:t xml:space="preserve">(closest comparators: the Rhea app — a fixed age-predicted-max percentage, no graded test, no clinician dashboard; and the CCMI + Wibbi module — a one-off on-paper in-clinic BCTT with symptom/outcome tracking, not a serial measured-HRt curve).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threshold, the verification-gated progression, and the serial-HRt trajectory — not the use of heart rate or the fact of an app — are the claim. No bare</w:t>
      </w:r>
      <w:r>
        <w:t xml:space="preserve"> </w:t>
      </w:r>
      <w:r>
        <w:t xml:space="preserve">“first”</w:t>
      </w:r>
      <w:r>
        <w:t xml:space="preserve"> </w:t>
      </w:r>
      <w:r>
        <w:t xml:space="preserve">or</w:t>
      </w:r>
      <w:r>
        <w:t xml:space="preserve"> </w:t>
      </w:r>
      <w:r>
        <w:t xml:space="preserve">“only”</w:t>
      </w:r>
      <w:r>
        <w:t xml:space="preserve"> </w:t>
      </w:r>
      <w:r>
        <w:t xml:space="preserve">is intended: each element exists somewhere in the prior art; the claim is their combination in one clinician-supervised workflow.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limitations-and-honest-scope"/>
    <w:p>
      <w:pPr>
        <w:pStyle w:val="Heading2"/>
      </w:pPr>
      <w:r>
        <w:t xml:space="preserve">5. Limitations and honest scope</w:t>
      </w:r>
    </w:p>
    <w:p>
      <w:pPr>
        <w:pStyle w:val="FirstParagraph"/>
      </w:pPr>
      <w:r>
        <w:t xml:space="preserve">The strongest randomised evidence for SSTAE is in</w:t>
      </w:r>
      <w:r>
        <w:t xml:space="preserve"> </w:t>
      </w:r>
      <w:r>
        <w:rPr>
          <w:b/>
          <w:bCs/>
        </w:rPr>
        <w:t xml:space="preserve">adolescents with sport-related concussion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early</w:t>
      </w:r>
      <w:r>
        <w:t xml:space="preserve"> </w:t>
      </w:r>
      <w:r>
        <w:t xml:space="preserve">window; the adult and persistent-symptom evidence, while supportive, is thinner and calls for better trials. A digital delivery tool inherits this evidence base — it can make faithful delivery of an evidence-based prescription easier and more measurable, but it does not, by itself, constitute new efficacy evidence. The honest claim for the software is</w:t>
      </w:r>
      <w:r>
        <w:t xml:space="preserve"> </w:t>
      </w:r>
      <w:r>
        <w:rPr>
          <w:b/>
          <w:bCs/>
        </w:rPr>
        <w:t xml:space="preserve">verification-by-design and faithful delivery</w:t>
      </w:r>
      <w:r>
        <w:t xml:space="preserve">, not a new clinical outcome. The path to genuine outcome evidence is a future retrospective, observational analysis of de-identified routine-care data (serial HRt trajectories, adherence, time-to-clearance) accumulated through normal clinical use — a study that can be designed once a real-world dataset exists, and that is the appropriate vehicle for an efficacy claim.</w:t>
      </w:r>
    </w:p>
    <w:p>
      <w:pPr>
        <w:pStyle w:val="BodyText"/>
      </w:pPr>
      <w:r>
        <w:t xml:space="preserve">Digital delivery is also not a free good, and the case for it should not be made one-sidedly. Whether a wearable-guided app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improves between-visit delivery is itself an empirical question, not a given: app-based adherence commonly decays over weeks; live heart-rate feedback can be misread under exertion or anxiety; consumer optical sensors are least accurate at exactly the exercising heart rates that matter; and any tool introduces equity and access concerns — the cost of a wearable, smartphone and data, and a digital-literacy and language barrier that can widen rather than narrow disparities in who receives faithful rehabilitation. Privacy and data-governance obligations attach to any between-visit clinical data flow. These are reasons the contribution is framed as</w:t>
      </w:r>
      <w:r>
        <w:t xml:space="preserve"> </w:t>
      </w:r>
      <w:r>
        <w:rPr>
          <w:i/>
          <w:iCs/>
        </w:rPr>
        <w:t xml:space="preserve">verification-by-design and a measurable delivery substrate</w:t>
      </w:r>
      <w:r>
        <w:t xml:space="preserve"> </w:t>
      </w:r>
      <w:r>
        <w:t xml:space="preserve">— and why its real-world value, like its efficacy, is deferred to evaluation rather than asserted.</w:t>
      </w:r>
    </w:p>
    <w:p>
      <w:r>
        <w:pict>
          <v:rect style="width:0;height:1.5pt" o:hralign="center" o:hrstd="t" o:hr="t"/>
        </w:pict>
      </w:r>
    </w:p>
    <w:bookmarkEnd w:id="25"/>
    <w:bookmarkStart w:id="26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Concussion management has completed a genuine paradigm shift: from rest-until-symptom-free to early, individualised, sub-symptom-threshold aerobic exercise, anchored to a heart-rate threshold from a standardised graded test, and endorsed by the field’s consensus statement. The remaining problem is not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prescribe but</w:t>
      </w:r>
      <w:r>
        <w:t xml:space="preserve"> </w:t>
      </w:r>
      <w:r>
        <w:rPr>
          <w:i/>
          <w:iCs/>
        </w:rPr>
        <w:t xml:space="preserve">how to deliver it faithfully</w:t>
      </w:r>
      <w:r>
        <w:t xml:space="preserve"> </w:t>
      </w:r>
      <w:r>
        <w:t xml:space="preserve">between visits, when the therapeutic ceiling is invisible, the sessions are unobserved, and the data needed to progress safely is the data that gets lost. Tools that are clinician-prescribed, wearable-delivered, hardware-agnostic in how they read heart rate, uncompromising in never fabricating that signal, and built to carry the safety logic and report back to the prescriber are a natural instrument to close that gap. The contribution such tools offer is integration and faithful, verifiable delivery of an established treatment — not new physiology, and not, on their own, new outcome evidence. Whether they deliver that promise in practice — improving adherence and real-world delivery without widening access disparities — is precisely the question the next phase of evaluation, set out above, must answer.</w:t>
      </w:r>
    </w:p>
    <w:p>
      <w:r>
        <w:pict>
          <v:rect style="width:0;height:1.5pt" o:hralign="center" o:hrstd="t" o:hr="t"/>
        </w:pict>
      </w:r>
    </w:p>
    <w:bookmarkEnd w:id="26"/>
    <w:bookmarkStart w:id="27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 (ZL) is the developer and founder of the SST Trainer software and of Concussion Education Australia, which is referenced in Section 4 as one disclosed, illustrative instance of the delivery requirements discussed. No other competing interests are declared. The steps taken to mitigate this interest are described in the Methods.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work received no specific grant from any funding agency in the public, commercial, or not-for-profit sectors; it was conducted independently by the author.</w:t>
      </w:r>
    </w:p>
    <w:p>
      <w:pPr>
        <w:pStyle w:val="BodyText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applicable. This is a narrative review of previously published literature and involved no human participants, human data, or animal subjects.</w:t>
      </w:r>
    </w:p>
    <w:p>
      <w:pPr>
        <w:pStyle w:val="BodyText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Not applicable. No new data were generated or analysed; all sources are cited in the reference list.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ZL is the sole author and conceived, researched, and wrote the manuscript.</w:t>
      </w:r>
    </w:p>
    <w:p>
      <w:r>
        <w:pict>
          <v:rect style="width:0;height:1.5pt" o:hralign="center" o:hrstd="t" o:hr="t"/>
        </w:pict>
      </w:r>
    </w:p>
    <w:bookmarkEnd w:id="27"/>
    <w:bookmarkStart w:id="28" w:name="key-references"/>
    <w:p>
      <w:pPr>
        <w:pStyle w:val="Heading2"/>
      </w:pPr>
      <w:r>
        <w:t xml:space="preserve">Key references</w:t>
      </w:r>
    </w:p>
    <w:p>
      <w:pPr>
        <w:pStyle w:val="Compact"/>
        <w:numPr>
          <w:ilvl w:val="0"/>
          <w:numId w:val="1007"/>
        </w:numPr>
      </w:pPr>
      <w:r>
        <w:t xml:space="preserve">Leddy JJ, Haider MN, Ellis MJ, et al. Early Subthreshold Aerobic Exercise for Sport-Related Concussion: A Randomized Clinical Trial.</w:t>
      </w:r>
      <w:r>
        <w:t xml:space="preserve"> </w:t>
      </w:r>
      <w:r>
        <w:rPr>
          <w:i/>
          <w:iCs/>
        </w:rPr>
        <w:t xml:space="preserve">JAMA Pediatr.</w:t>
      </w:r>
      <w:r>
        <w:t xml:space="preserve"> </w:t>
      </w:r>
      <w:r>
        <w:t xml:space="preserve">2019;173(4):319–325.</w:t>
      </w:r>
    </w:p>
    <w:p>
      <w:pPr>
        <w:pStyle w:val="Compact"/>
        <w:numPr>
          <w:ilvl w:val="0"/>
          <w:numId w:val="1007"/>
        </w:numPr>
      </w:pPr>
      <w:r>
        <w:t xml:space="preserve">Leddy JJ, Master CL, Mannix R, et al. Early targeted heart rate aerobic exercise versus placebo stretching for sport-related concussion in adolescents: a randomised controlled trial.</w:t>
      </w:r>
      <w:r>
        <w:t xml:space="preserve"> </w:t>
      </w:r>
      <w:r>
        <w:rPr>
          <w:i/>
          <w:iCs/>
        </w:rPr>
        <w:t xml:space="preserve">Lancet Child Adolesc Health.</w:t>
      </w:r>
      <w:r>
        <w:t xml:space="preserve"> </w:t>
      </w:r>
      <w:r>
        <w:t xml:space="preserve">2021;5(11):792–799.</w:t>
      </w:r>
    </w:p>
    <w:p>
      <w:pPr>
        <w:pStyle w:val="Compact"/>
        <w:numPr>
          <w:ilvl w:val="0"/>
          <w:numId w:val="1007"/>
        </w:numPr>
      </w:pPr>
      <w:r>
        <w:t xml:space="preserve">Patricios JS, Schneider KJ, Dvorak J, et al. Consensus statement on concussion in sport: the 6th International Conference on Concussion in Sport–Amsterdam, October 2022.</w:t>
      </w:r>
      <w:r>
        <w:t xml:space="preserve"> </w:t>
      </w:r>
      <w:r>
        <w:rPr>
          <w:i/>
          <w:iCs/>
        </w:rPr>
        <w:t xml:space="preserve">Br J Sports Med.</w:t>
      </w:r>
      <w:r>
        <w:t xml:space="preserve"> </w:t>
      </w:r>
      <w:r>
        <w:t xml:space="preserve">2023;57(11):695–711.</w:t>
      </w:r>
    </w:p>
    <w:p>
      <w:pPr>
        <w:pStyle w:val="Compact"/>
        <w:numPr>
          <w:ilvl w:val="0"/>
          <w:numId w:val="1007"/>
        </w:numPr>
      </w:pPr>
      <w:r>
        <w:t xml:space="preserve">Leddy JJ, Willer B. Use of graded exercise testing in concussion and return-to-activity management.</w:t>
      </w:r>
      <w:r>
        <w:t xml:space="preserve"> </w:t>
      </w:r>
      <w:r>
        <w:rPr>
          <w:i/>
          <w:iCs/>
        </w:rPr>
        <w:t xml:space="preserve">Curr Sports Med Rep.</w:t>
      </w:r>
      <w:r>
        <w:t xml:space="preserve"> </w:t>
      </w:r>
      <w:r>
        <w:t xml:space="preserve">2013;12(6):370–376.</w:t>
      </w:r>
    </w:p>
    <w:p>
      <w:pPr>
        <w:pStyle w:val="Compact"/>
        <w:numPr>
          <w:ilvl w:val="0"/>
          <w:numId w:val="1007"/>
        </w:numPr>
      </w:pPr>
      <w:r>
        <w:t xml:space="preserve">Haider MN, Leddy JJ, et al. The Predictive Capacity of the Buffalo Concussion Treadmill Test After Sport-Related Concussion in Adolescents.</w:t>
      </w:r>
      <w:r>
        <w:t xml:space="preserve"> </w:t>
      </w:r>
      <w:r>
        <w:rPr>
          <w:i/>
          <w:iCs/>
        </w:rPr>
        <w:t xml:space="preserve">Front Neurol.</w:t>
      </w:r>
      <w:r>
        <w:t xml:space="preserve"> </w:t>
      </w:r>
      <w:r>
        <w:t xml:space="preserve">2019;10:395.</w:t>
      </w:r>
    </w:p>
    <w:p>
      <w:pPr>
        <w:pStyle w:val="Compact"/>
        <w:numPr>
          <w:ilvl w:val="0"/>
          <w:numId w:val="1007"/>
        </w:numPr>
      </w:pPr>
      <w:r>
        <w:t xml:space="preserve">Leddy JJ, Kozlowski K, Donnelly JP, Pendergast DR, Epstein LH, Willer B. A preliminary study of subsymptom threshold exercise training for refractory post-concussion syndrome.</w:t>
      </w:r>
      <w:r>
        <w:t xml:space="preserve"> </w:t>
      </w:r>
      <w:r>
        <w:rPr>
          <w:i/>
          <w:iCs/>
        </w:rPr>
        <w:t xml:space="preserve">Clin J Sport Med.</w:t>
      </w:r>
      <w:r>
        <w:t xml:space="preserve"> </w:t>
      </w:r>
      <w:r>
        <w:t xml:space="preserve">2010;20(1):21–27.</w:t>
      </w:r>
    </w:p>
    <w:p>
      <w:pPr>
        <w:pStyle w:val="Compact"/>
        <w:numPr>
          <w:ilvl w:val="0"/>
          <w:numId w:val="1007"/>
        </w:numPr>
      </w:pPr>
      <w:r>
        <w:t xml:space="preserve">Leddy JJ, Baker JG, Kozlowski K, Bisson L, Willer B. Reliability of a graded exercise test for assessing recovery from concussion.</w:t>
      </w:r>
      <w:r>
        <w:t xml:space="preserve"> </w:t>
      </w:r>
      <w:r>
        <w:rPr>
          <w:i/>
          <w:iCs/>
        </w:rPr>
        <w:t xml:space="preserve">Clin J Sport Med.</w:t>
      </w:r>
      <w:r>
        <w:t xml:space="preserve"> </w:t>
      </w:r>
      <w:r>
        <w:t xml:space="preserve">2011;21(2):89–94.</w:t>
      </w:r>
    </w:p>
    <w:p>
      <w:pPr>
        <w:pStyle w:val="Compact"/>
        <w:numPr>
          <w:ilvl w:val="0"/>
          <w:numId w:val="1007"/>
        </w:numPr>
      </w:pPr>
      <w:r>
        <w:t xml:space="preserve">Leddy JJ, Haider MN, Ellis M, Willer BS. Exercise is Medicine for Concussion.</w:t>
      </w:r>
      <w:r>
        <w:t xml:space="preserve"> </w:t>
      </w:r>
      <w:r>
        <w:rPr>
          <w:i/>
          <w:iCs/>
        </w:rPr>
        <w:t xml:space="preserve">Curr Sports Med Rep.</w:t>
      </w:r>
      <w:r>
        <w:t xml:space="preserve"> </w:t>
      </w:r>
      <w:r>
        <w:t xml:space="preserve">2018;17(8):262–270.</w:t>
      </w:r>
    </w:p>
    <w:p>
      <w:pPr>
        <w:pStyle w:val="Compact"/>
        <w:numPr>
          <w:ilvl w:val="0"/>
          <w:numId w:val="1007"/>
        </w:numPr>
      </w:pPr>
      <w:r>
        <w:t xml:space="preserve">Leddy JJ, Haider MN, Hinds AL, Willer B. Practical Management: Prescribing Subsymptom Threshold Aerobic Exercise for Sport-Related Concussion in the Outpatient Setting.</w:t>
      </w:r>
      <w:r>
        <w:t xml:space="preserve"> </w:t>
      </w:r>
      <w:r>
        <w:rPr>
          <w:i/>
          <w:iCs/>
        </w:rPr>
        <w:t xml:space="preserve">Clin J Sport Med.</w:t>
      </w:r>
      <w:r>
        <w:t xml:space="preserve"> </w:t>
      </w:r>
      <w:r>
        <w:t xml:space="preserve">2021;31(2):e89–e94.</w:t>
      </w:r>
    </w:p>
    <w:p>
      <w:pPr>
        <w:pStyle w:val="Compact"/>
        <w:numPr>
          <w:ilvl w:val="0"/>
          <w:numId w:val="1007"/>
        </w:numPr>
      </w:pPr>
      <w:r>
        <w:t xml:space="preserve">Willer BS, Haider MN, Bezherano I, et al. Comparison of Rest to Aerobic Exercise and Placebo-like Treatment of Acute Sport-Related Concussion in Male and Female Adolescents.</w:t>
      </w:r>
      <w:r>
        <w:t xml:space="preserve"> </w:t>
      </w:r>
      <w:r>
        <w:rPr>
          <w:i/>
          <w:iCs/>
        </w:rPr>
        <w:t xml:space="preserve">Arch Phys Med Rehabil.</w:t>
      </w:r>
      <w:r>
        <w:t xml:space="preserve"> </w:t>
      </w:r>
      <w:r>
        <w:t xml:space="preserve">2019;100(12):2267–2275.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2026-07-08T03:51:44Z</dcterms:created>
  <dcterms:modified xsi:type="dcterms:W3CDTF">2026-07-08T03:51:44Z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