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of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derived from the trial procedures: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its efficacy depends on an individualised, invisible heart-rate ceiling being respected on every unsupervised home session.</w:t>
      </w:r>
    </w:p>
    <w:p>
      <w:pPr>
        <w:pStyle w:val="Compact"/>
        <w:numPr>
          <w:ilvl w:val="0"/>
          <w:numId w:val="1001"/>
        </w:numPr>
      </w:pPr>
      <w:r>
        <w:t xml:space="preserve">Routine practice loses exactly the data that make the prescription safe to progress: live heart rate against the prescribed band, completed-session records, next-day symptom responses, and serial thresholds.</w:t>
      </w:r>
    </w:p>
    <w:p>
      <w:pPr>
        <w:pStyle w:val="Compact"/>
        <w:numPr>
          <w:ilvl w:val="0"/>
          <w:numId w:val="1001"/>
        </w:numPr>
      </w:pPr>
      <w:r>
        <w:t xml:space="preserve">Digital delivery tools are candidate instruments for closing this gap only if they never fabricate the heart-rate signal, gate progression on verified sessions, and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condition-general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w:t>
      </w:r>
      <w:r>
        <w:t xml:space="preserve">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[1].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[2]. Exercise intolerance is common and clinically meaningful: in adults with persistent post-concussive symptoms, roughly 81% test positive for exercise intolerance, and a higher symptom burden is associated with higher odds of testing positive [3]. This matters because it means the phenotype is (a) frequent,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[4]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already exceed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[5]. The protocol — walk at a fixed starting speed, then increase the incline by 1° each minute for 15 stages, after which the speed increases — was chosen precisely because the Balke ramp is gentle, well-validated and proven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[6], which is what justifies serial testing as a recovery curve.</w:t>
      </w:r>
    </w:p>
    <w:bookmarkEnd w:id="16"/>
    <w:bookmarkStart w:id="17" w:name="hrt-and-the-slope-are-also-prognostic"/>
    <w:p>
      <w:pPr>
        <w:pStyle w:val="Heading3"/>
      </w:pPr>
      <w:r>
        <w:t xml:space="preserve">2.2 HRt and the slope are also prognostic</w:t>
      </w:r>
    </w:p>
    <w:p>
      <w:pPr>
        <w:pStyle w:val="FirstParagraph"/>
      </w:pPr>
      <w:r>
        <w:t xml:space="preserve">Beyond prescribing, the threshold test forecasts recovery. In adolescents with sport-related concussion, an absolute HRt below ~135 bpm has been associated with prolonged (&gt;21-day) recovery, and Haider and colleagues found that a blunted heart-rate response — a change in heart rate of ≤50 bpm across the test — predicted delayed (&gt;30-day) recovery with roughly 73% sensitivity and 78% specificity in adolescents managed with the then-standard prescribed rest [7]. A single test that both prescribes the dose and stratifies recovery risk is clinically valuable — and serial HRt becomes an objective recovery trajectory rather than a subjective symptom diary.</w:t>
      </w:r>
    </w:p>
    <w:bookmarkEnd w:id="17"/>
    <w:bookmarkStart w:id="18" w:name="Xefefcbc9c5b47b21f81bb8212cac0802686062c"/>
    <w:p>
      <w:pPr>
        <w:pStyle w:val="Heading3"/>
      </w:pPr>
      <w:r>
        <w:t xml:space="preserve">2.3 SSTAE works: the randomised evidence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[8].</w:t>
      </w:r>
    </w:p>
    <w:p>
      <w:pPr>
        <w:pStyle w:val="BodyText"/>
      </w:pPr>
      <w:r>
        <w:rPr>
          <w:b/>
          <w:bCs/>
        </w:rPr>
        <w:t xml:space="preserve">Pivotal RCT (JAMA Pediatrics, 2019).</w:t>
      </w:r>
      <w:r>
        <w:t xml:space="preserve"> </w:t>
      </w:r>
      <w:r>
        <w:t xml:space="preserve">In a randomised clinical trial of 103 adolescents (ages 13–18) in the acute phase of sport-related concussion, sub-symptom-threshold aerobic exercise versus a placebo-like stretching programme accelerated recovery: median recovery 13 days versus 17 days, a statistically significant difference [9].</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shortened recovery (the trial’s reported hazard ratio for stretching versus aerobic exercise was 0.52, 95% CI 0.28–0.97, p=0.039) and roughly halved the incidence of persistent post-concussive symptoms, with good adherence and no adverse events [10].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[11]. Systematic synthesis for the Amsterdam process concluded that early rest beyond 24–48 hours confers no benefit and that prescribed sub-symptom-threshold aerobic exercise is beneficial [12]. A separate review noted that, while the adolescent evidence is strong, good-quality trials in adults and on broader outcomes are still needed [13].</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[14], and one giving a standardised programme in the absence of graded exercise testing [15].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[5].</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[8–10,13].</w:t>
      </w:r>
    </w:p>
    <w:p>
      <w:pPr>
        <w:pStyle w:val="Compact"/>
        <w:numPr>
          <w:ilvl w:val="0"/>
          <w:numId w:val="1004"/>
        </w:numPr>
      </w:pPr>
      <w:r>
        <w:rPr>
          <w:b/>
          <w:bCs/>
        </w:rPr>
        <w:t xml:space="preserve">Dose:</w:t>
      </w:r>
      <w:r>
        <w:t xml:space="preserve"> </w:t>
      </w:r>
      <w:r>
        <w:t xml:space="preserve">~20 minutes, most days of the week [9,10].</w:t>
      </w:r>
    </w:p>
    <w:p>
      <w:pPr>
        <w:pStyle w:val="Compact"/>
        <w:numPr>
          <w:ilvl w:val="0"/>
          <w:numId w:val="1004"/>
        </w:numPr>
      </w:pPr>
      <w:r>
        <w:rPr>
          <w:b/>
          <w:bCs/>
        </w:rPr>
        <w:t xml:space="preserve">Within-session stop rule:</w:t>
      </w:r>
      <w:r>
        <w:t xml:space="preserve"> </w:t>
      </w:r>
      <w:r>
        <w:t xml:space="preserve">stop if symptoms rise more than 2 points (&gt;2) above pre-session — the complement of the consensus’s up-to-2-point tolerance band [4].</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[14,15].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worked because participants were carefully prescribed an individualised heart-rate ceiling and adhered to it on every home session, with clinician oversight.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 if it happens.</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On paper diaries this is incomplete, recalled, and rarely makes it into the record in a usable form. Serial HRt — the objective recovery curve and the clearance signal — is almost never captured outside a research setting.</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derived from the trial procedures [8–10] and the gap analysis in Section 3, and stated at the level of requirements, independent of any vendor or product; Section 4.2 then locates the existing tools — including, with disclosed interest, the author’s — against them. The portable, repeatable prescription of Section 2.4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[9,10] — converts an abstract bpm range into a moment-to-moment</w:t>
      </w:r>
      <w:r>
        <w:t xml:space="preserve"> </w:t>
      </w:r>
      <w:r>
        <w:t xml:space="preserve">“in zone / over / under”</w:t>
      </w:r>
      <w:r>
        <w:t xml:space="preserve"> </w:t>
      </w:r>
      <w:r>
        <w:t xml:space="preserve">signal. This is the most direct available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the main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honest limits attach to any implementation: phone-camera photoplethysmography is unreliable during exercise because of motion artefact, so it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those under the US 21st Century Cures Act §3060 and the TGA’s clinical-decision-support exclusion, which are drafted around clinician-facing software that does not process device signals — and be regulated as software as a medical device. Classification turns on claims and intended use, and a formal regulatory scoping opinion should precede any launch.</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(e.g. Visible)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a minority of exertion-intolerant patients present with post-exertional-malaise-pattern responses (including comorbid postural orthostatic tachycardia presentations) for whom train-up-to-the-band framing is inappropriate — a delivery tool should screen for such responses and divert them to clinician review rather than train through them.</w:t>
      </w:r>
    </w:p>
    <w:bookmarkEnd w:id="23"/>
    <w:bookmarkStart w:id="24" w:name="Xe07dc316fc9c296e7b2ad198a22c4f0f6dcd972"/>
    <w:p>
      <w:pPr>
        <w:pStyle w:val="Heading3"/>
      </w:pPr>
      <w:r>
        <w:t xml:space="preserve">4.2 What already exists — and the narrow, honest novelty</w:t>
      </w:r>
    </w:p>
    <w:p>
      <w:pPr>
        <w:pStyle w:val="FirstParagraph"/>
      </w:pPr>
      <w:r>
        <w:t xml:space="preserve">It would be wrong to imply that no one has digitised this prescription. The honest claim must be made against the existing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[16]. Its published protocol, however, guides users to a fixed ~60% ± 5% of age-predicted maximal heart rate (220 − age), with no graded test to individualise the threshold; individualisation is limited to in-app same/better/worse symptom feedback [17]. The published descriptions do not report a dedicated clinician dashboard [16,17]. An RCT from the same group has likewise delivered early aerobic exercise using a progressive percentage of age-predicted-maximum heart rate [18].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[19].</w:t>
      </w:r>
    </w:p>
    <w:p>
      <w:pPr>
        <w:pStyle w:val="Compact"/>
        <w:numPr>
          <w:ilvl w:val="0"/>
          <w:numId w:val="1007"/>
        </w:numPr>
      </w:pPr>
      <w:r>
        <w:t xml:space="preserve">The pivotal Buffalo trials themselves delivered individualised HRt-based home exercise with wearable heart-rate monitoring — 80% of HRt with a home heart-rate monitor [9], and a serial-HRt-updated prescription with weekly BCTT recheck [10].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and is reaching Australia: the Complete Concussion Management Inc. (CCMI) and Wibbi partnership (announced December 2025) embeds concussion protocols in a digital home-exercise-programme platform with outcome tracking [20]. The published description reports symptom and outcome-score tracking; it does not describe digital delivery of a serial measured-HRt curve [20].</w:t>
      </w:r>
    </w:p>
    <w:p>
      <w:pPr>
        <w:pStyle w:val="Compact"/>
        <w:numPr>
          <w:ilvl w:val="0"/>
          <w:numId w:val="1007"/>
        </w:numPr>
      </w:pPr>
      <w:r>
        <w:t xml:space="preserve">Concussion</w:t>
      </w:r>
      <w:r>
        <w:t xml:space="preserve"> </w:t>
      </w:r>
      <w:r>
        <w:rPr>
          <w:i/>
          <w:iCs/>
        </w:rPr>
        <w:t xml:space="preserve">assessment</w:t>
      </w:r>
      <w:r>
        <w:t xml:space="preserve"> </w:t>
      </w:r>
      <w:r>
        <w:t xml:space="preserve">platforms (e.g. Sway [21]) digitise symptom, balance and cognitive testing; their published descriptions include no exertion- or heart-rate-guided therapy. Supervised heart-rate-zone training is an established pattern in app-based cardiac rehabilitation; this review’s mapping identified no equivalently supervised, at-scale commercial implementation for concussion.</w:t>
      </w:r>
    </w:p>
    <w:p>
      <w:pPr>
        <w:pStyle w:val="FirstParagraph"/>
      </w:pPr>
      <w:r>
        <w:t xml:space="preserve">Against that backdrop, the defensible finding is not</w:t>
      </w:r>
      <w:r>
        <w:t xml:space="preserve"> </w:t>
      </w:r>
      <w:r>
        <w:t xml:space="preserve">“first digital delivery.”</w:t>
      </w:r>
      <w:r>
        <w:t xml:space="preserve"> </w:t>
      </w:r>
      <w:r>
        <w:t xml:space="preserve">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age-predicted-maximum),</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age-predicted-maximum percentage with no graded test and no reported clinician dashboard [16,17]; the CCMI–Wibbi module’s published description reports outcome-score tracking rather than a serial measured-HRt curve [20]. Each element exists somewhere in the prior art; the observation concerns their combination — and it is made against criteria the author framed, so the disclosed interest applies to the comparison as much as to the product.</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named for transparency and located against the same criteria as its comparators; consistent with Section 5, no efficacy claim is made for it.</w:t>
      </w:r>
    </w:p>
    <w:bookmarkEnd w:id="24"/>
    <w:bookmarkEnd w:id="25"/>
    <w:bookmarkStart w:id="26" w:name="limitations-and-honest-scope"/>
    <w:p>
      <w:pPr>
        <w:pStyle w:val="Heading2"/>
      </w:pPr>
      <w:r>
        <w:t xml:space="preserve">5. Limitations and honest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[13]. A digital delivery tool inherits this evidence base — it can make faithful delivery of an evidence-based prescription easier and more measurable, but it does not, by itself, constitute new efficacy evidence. The honest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live heart-rate feedback can be misread under exertion or anxiety; consumer optical sensors are least accurate at exactly the exercising heart rates that matter;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uncompromising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developer and founder of the SST Trainer software and of Concussion Education Australia,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Sway Medical Inc. Sway Medical announces FDA 510(k) clearance of its comprehensive concussion management system (K241737). February 2025. https://www.prnewswire.com/news-releases/sway-medical-inc-announces-fda-510k-clearance-of-its-comprehensive-concussion-management-system-302385941.html (accessed 12 August 2026).</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2026-08-12T04:33:36Z</dcterms:created>
  <dcterms:modified xsi:type="dcterms:W3CDTF">2026-08-12T04:33:36Z</dcterms:modified>
</cp:coreProperties>
</file>

<file path=docProps/custom.xml><?xml version="1.0" encoding="utf-8"?>
<Properties xmlns="http://schemas.openxmlformats.org/officeDocument/2006/custom-properties" xmlns:vt="http://schemas.openxmlformats.org/officeDocument/2006/docPropsVTypes"/>
</file>