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5cd5602973855d8e0c87c2fcf965e7ddfea9ab"/>
    <w:p>
      <w:pPr>
        <w:pStyle w:val="Heading1"/>
      </w:pPr>
      <w:r>
        <w:t xml:space="preserve">A standardised, clinician-directed digital workflow for delivering sub-symptom-threshold aerobic exercise after concussion</w:t>
      </w:r>
    </w:p>
    <w:p>
      <w:pPr>
        <w:pStyle w:val="FirstParagraph"/>
      </w:pPr>
      <w:r>
        <w:rPr>
          <w:b/>
          <w:bCs/>
        </w:rPr>
        <w:t xml:space="preserve">Zac Lewis</w:t>
      </w:r>
      <w:r>
        <w:t xml:space="preserve">¹</w:t>
      </w:r>
    </w:p>
    <w:p>
      <w:pPr>
        <w:pStyle w:val="BodyText"/>
      </w:pPr>
      <w:r>
        <w:t xml:space="preserve">¹ Concussion Education Australia Pty Ltd, Australia. ORCID:</w:t>
      </w:r>
      <w:r>
        <w:t xml:space="preserve"> </w:t>
      </w:r>
      <w:hyperlink r:id="rId9">
        <w:r>
          <w:rPr>
            <w:rStyle w:val="Hyperlink"/>
          </w:rPr>
          <w:t xml:space="preserve">0009-0002-4267-0451</w:t>
        </w:r>
      </w:hyperlink>
    </w:p>
    <w:p>
      <w:pPr>
        <w:pStyle w:val="BodyText"/>
      </w:pPr>
      <w:r>
        <w:rPr>
          <w:b/>
          <w:bCs/>
        </w:rPr>
        <w:t xml:space="preserve">Corresponding author:</w:t>
      </w:r>
      <w:r>
        <w:t xml:space="preserve"> </w:t>
      </w:r>
      <w:r>
        <w:t xml:space="preserve">Zac Lewis, Concussion Education Australia Pty Ltd, Australia. Email: z.lew87@gmail.com</w:t>
      </w:r>
    </w:p>
    <w:p>
      <w:pPr>
        <w:pStyle w:val="BodyText"/>
      </w:pPr>
      <w:r>
        <w:rPr>
          <w:b/>
          <w:bCs/>
        </w:rPr>
        <w:t xml:space="preserve">Article type:</w:t>
      </w:r>
      <w:r>
        <w:t xml:space="preserve"> </w:t>
      </w:r>
      <w:r>
        <w:t xml:space="preserve">Protocol / delivery-framework paper (a described clinical workflow;</w:t>
      </w:r>
      <w:r>
        <w:t xml:space="preserve"> </w:t>
      </w:r>
      <w:r>
        <w:rPr>
          <w:i/>
          <w:iCs/>
        </w:rPr>
        <w:t xml:space="preserve">not</w:t>
      </w:r>
      <w:r>
        <w:t xml:space="preserve"> </w:t>
      </w:r>
      <w:r>
        <w:t xml:space="preserve">a trial protocol, and</w:t>
      </w:r>
      <w:r>
        <w:t xml:space="preserve"> </w:t>
      </w:r>
      <w:r>
        <w:rPr>
          <w:i/>
          <w:iCs/>
        </w:rPr>
        <w:t xml:space="preserve">not</w:t>
      </w:r>
      <w:r>
        <w:t xml:space="preserve"> </w:t>
      </w:r>
      <w:r>
        <w:t xml:space="preserve">an effectiveness study)</w:t>
      </w:r>
    </w:p>
    <w:bookmarkStart w:id="15" w:name="the-five-stage-workflow"/>
    <w:p>
      <w:pPr>
        <w:pStyle w:val="Heading2"/>
      </w:pPr>
      <w:r>
        <w:t xml:space="preserve">3. The five-stage workflow</w:t>
      </w:r>
    </w:p>
    <w:bookmarkStart w:id="10" w:name="stage-1---baseline-and-safety-screen"/>
    <w:p>
      <w:pPr>
        <w:pStyle w:val="Heading3"/>
      </w:pPr>
      <w:r>
        <w:t xml:space="preserve">Stage 1 - Baseline and safety screen</w:t>
      </w:r>
    </w:p>
    <w:p>
      <w:pPr>
        <w:pStyle w:val="Compact"/>
        <w:numPr>
          <w:ilvl w:val="0"/>
          <w:numId w:val="1001"/>
        </w:numPr>
      </w:pPr>
      <w:r>
        <w:rPr>
          <w:b/>
          <w:bCs/>
        </w:rPr>
        <w:t xml:space="preserve">Symptom profile.</w:t>
      </w:r>
      <w:r>
        <w:t xml:space="preserve"> </w:t>
      </w:r>
      <w:r>
        <w:t xml:space="preserve">The patient selects, from the standard post-concussion symptom inventory, the symptoms they actually experience, so that subsequent per-minute prompts ask only about relevant symptoms.</w:t>
      </w:r>
    </w:p>
    <w:p>
      <w:pPr>
        <w:pStyle w:val="Compact"/>
        <w:numPr>
          <w:ilvl w:val="0"/>
          <w:numId w:val="1001"/>
        </w:numPr>
      </w:pPr>
      <w:r>
        <w:rPr>
          <w:b/>
          <w:bCs/>
        </w:rPr>
        <w:t xml:space="preserve">Red-flag gate.</w:t>
      </w:r>
      <w:r>
        <w:t xml:space="preserve"> </w:t>
      </w:r>
      <w:r>
        <w:t xml:space="preserve">Before any exertion, the patient is screened against the emergency red-flag list (severe or worsening headache, repeated vomiting, seizure, focal weakness or numbness, slurred speech, increasing confusion or drowsiness, loss of consciousness). Any positive blocks the test and routes to urgent medical review. A red-flag termination additionally sets a lock that blocks all further testing until a clinician has reviewed the patient and cleared them to resume.</w:t>
      </w:r>
    </w:p>
    <w:p>
      <w:pPr>
        <w:pStyle w:val="Compact"/>
        <w:numPr>
          <w:ilvl w:val="0"/>
          <w:numId w:val="1001"/>
        </w:numPr>
      </w:pPr>
      <w:r>
        <w:rPr>
          <w:b/>
          <w:bCs/>
        </w:rPr>
        <w:t xml:space="preserve">Resting-symptom gate.</w:t>
      </w:r>
      <w:r>
        <w:t xml:space="preserve"> </w:t>
      </w:r>
      <w:r>
        <w:t xml:space="preserve">A 0-10 resting symptom score is captured immediately pre-test. It is the reference value for the provocation criterion. A resting score of</w:t>
      </w:r>
      <w:r>
        <w:t xml:space="preserve"> </w:t>
      </w:r>
      <w:r>
        <w:rPr>
          <w:b/>
          <w:bCs/>
        </w:rPr>
        <w:t xml:space="preserve">8 or above blocks testing entirely</w:t>
      </w:r>
      <w:r>
        <w:t xml:space="preserve"> </w:t>
      </w:r>
      <w:r>
        <w:t xml:space="preserve">- today is not a test day.</w:t>
      </w:r>
    </w:p>
    <w:p>
      <w:pPr>
        <w:pStyle w:val="Compact"/>
        <w:numPr>
          <w:ilvl w:val="0"/>
          <w:numId w:val="1001"/>
        </w:numPr>
      </w:pPr>
      <w:r>
        <w:rPr>
          <w:b/>
          <w:bCs/>
        </w:rPr>
        <w:t xml:space="preserve">Heart-rate source pairing.</w:t>
      </w:r>
      <w:r>
        <w:t xml:space="preserve"> </w:t>
      </w:r>
      <w:r>
        <w:t xml:space="preserve">The patient pairs a Bluetooth wearable (the only source that can support verified progression), or the clinician selects manual entry. Camera photoplethysmography is available as a resting spot-check only and is not offered on any exertion screen.</w:t>
      </w:r>
    </w:p>
    <w:p>
      <w:pPr>
        <w:pStyle w:val="Compact"/>
        <w:numPr>
          <w:ilvl w:val="0"/>
          <w:numId w:val="1001"/>
        </w:numPr>
      </w:pPr>
      <w:r>
        <w:rPr>
          <w:b/>
          <w:bCs/>
        </w:rPr>
        <w:t xml:space="preserve">Re-test spacing.</w:t>
      </w:r>
      <w:r>
        <w:t xml:space="preserve"> </w:t>
      </w:r>
      <w:r>
        <w:t xml:space="preserve">Where this is not a first test, the spacing gate applies: at most one graded test per calendar day, with no exceptions, and a minimum of</w:t>
      </w:r>
      <w:r>
        <w:t xml:space="preserve"> </w:t>
      </w:r>
      <w:r>
        <w:rPr>
          <w:b/>
          <w:bCs/>
        </w:rPr>
        <w:t xml:space="preserve">48 hours</w:t>
      </w:r>
      <w:r>
        <w:t xml:space="preserve"> </w:t>
      </w:r>
      <w:r>
        <w:t xml:space="preserve">between tests unless the clinician directs otherwise or the patient’s band was just regressed.</w:t>
      </w:r>
    </w:p>
    <w:p>
      <w:pPr>
        <w:pStyle w:val="FirstParagraph"/>
      </w:pPr>
      <w:r>
        <w:rPr>
          <w:i/>
          <w:iCs/>
        </w:rPr>
        <w:t xml:space="preserve">Role:</w:t>
      </w:r>
      <w:r>
        <w:t xml:space="preserve"> </w:t>
      </w:r>
      <w:r>
        <w:t xml:space="preserve">clinician confirms appropriateness and enables the test; patient executes.</w:t>
      </w:r>
      <w:r>
        <w:t xml:space="preserve"> </w:t>
      </w:r>
      <w:r>
        <w:rPr>
          <w:i/>
          <w:iCs/>
        </w:rPr>
        <w:t xml:space="preserve">Stopping criterion:</w:t>
      </w:r>
      <w:r>
        <w:t xml:space="preserve"> </w:t>
      </w:r>
      <w:r>
        <w:t xml:space="preserve">any red flag, or a resting symptom score at least 8 then exit; no test.</w:t>
      </w:r>
    </w:p>
    <w:bookmarkEnd w:id="10"/>
    <w:bookmarkStart w:id="11" w:name="X3a9f555de84452f5b94877868e017eba3c64ff4"/>
    <w:p>
      <w:pPr>
        <w:pStyle w:val="Heading3"/>
      </w:pPr>
      <w:r>
        <w:t xml:space="preserve">Stage 2 - Graded ramp to a measured heart-rate threshold</w:t>
      </w:r>
    </w:p>
    <w:p>
      <w:pPr>
        <w:pStyle w:val="FirstParagraph"/>
      </w:pPr>
      <w:r>
        <w:rPr>
          <w:b/>
          <w:bCs/>
        </w:rPr>
        <w:t xml:space="preserve">What is implemented, stated precisely.</w:t>
      </w:r>
      <w:r>
        <w:t xml:space="preserve"> </w:t>
      </w:r>
      <w:r>
        <w:t xml:space="preserve">The test is an</w:t>
      </w:r>
      <w:r>
        <w:t xml:space="preserve"> </w:t>
      </w:r>
      <w:r>
        <w:rPr>
          <w:b/>
          <w:bCs/>
        </w:rPr>
        <w:t xml:space="preserve">operator-executed graded ramp with standardised per-minute step-up prompts, modelled on the ordinal structure of the Buffalo Concussion Treadmill Test</w:t>
      </w:r>
      <w:r>
        <w:t xml:space="preserve"> </w:t>
      </w:r>
      <w:r>
        <w:t xml:space="preserve">[3]. Stages are one minute long (60 seconds, fixed in production), to a maximum of 20 stages. At each stage boundary the tool issues a standardised instruction to increase the workload by one increment - in the reference implementation,</w:t>
      </w:r>
      <w:r>
        <w:t xml:space="preserve"> </w:t>
      </w:r>
      <w:r>
        <w:t xml:space="preserve">“increase the incline one notch”</w:t>
      </w:r>
      <w:r>
        <w:t xml:space="preserve"> </w:t>
      </w:r>
      <w:r>
        <w:t xml:space="preserve">for the first fifteen minutes, and thereafter an instruction to hold the incline and increase speed instead. The ordinal shape of the Buffalo ramp is therefore preserved.</w:t>
      </w:r>
    </w:p>
    <w:p>
      <w:pPr>
        <w:pStyle w:val="BodyText"/>
      </w:pPr>
      <w:r>
        <w:rPr>
          <w:b/>
          <w:bCs/>
        </w:rPr>
        <w:t xml:space="preserve">Two properties of this must be stated plainly rather than implied.</w:t>
      </w:r>
      <w:r>
        <w:t xml:space="preserve"> </w:t>
      </w:r>
      <w:r>
        <w:t xml:space="preserve">First,</w:t>
      </w:r>
      <w:r>
        <w:t xml:space="preserve"> </w:t>
      </w:r>
      <w:r>
        <w:rPr>
          <w:b/>
          <w:bCs/>
        </w:rPr>
        <w:t xml:space="preserve">the Balke ramp is not implemented as a quantified protocol</w:t>
      </w:r>
      <w:r>
        <w:t xml:space="preserve">. No speed, gradient, or power value is set, verified, or recorded anywhere in the workflow. The workload is executed by the patient on whatever equipment they are using, and the magnitude of</w:t>
      </w:r>
      <w:r>
        <w:t xml:space="preserve"> </w:t>
      </w:r>
      <w:r>
        <w:t xml:space="preserve">“one notch”</w:t>
      </w:r>
      <w:r>
        <w:t xml:space="preserve"> </w:t>
      </w:r>
      <w:r>
        <w:t xml:space="preserve">is not standardised across patients or across sessions. The workload is therefore</w:t>
      </w:r>
      <w:r>
        <w:t xml:space="preserve"> </w:t>
      </w:r>
      <w:r>
        <w:rPr>
          <w:b/>
          <w:bCs/>
        </w:rPr>
        <w:t xml:space="preserve">unquantified and unrecorded</w:t>
      </w:r>
      <w:r>
        <w:t xml:space="preserve">; the only recorded exposure variables are elapsed minutes and the physiological and symptom response. Second, the</w:t>
      </w:r>
      <w:r>
        <w:t xml:space="preserve"> </w:t>
      </w:r>
      <w:r>
        <w:rPr>
          <w:b/>
          <w:bCs/>
        </w:rPr>
        <w:t xml:space="preserve">exercise modality</w:t>
      </w:r>
      <w:r>
        <w:t xml:space="preserve"> </w:t>
      </w:r>
      <w:r>
        <w:t xml:space="preserve">(treadmill, bike, walk, or other) is recorded as metadata for the clinician and is</w:t>
      </w:r>
      <w:r>
        <w:t xml:space="preserve"> </w:t>
      </w:r>
      <w:r>
        <w:rPr>
          <w:i/>
          <w:iCs/>
        </w:rPr>
        <w:t xml:space="preserve">not</w:t>
      </w:r>
      <w:r>
        <w:t xml:space="preserve"> </w:t>
      </w:r>
      <w:r>
        <w:t xml:space="preserve">read by the threshold-detection logic; the same detection rule applies regardless of modality.</w:t>
      </w:r>
    </w:p>
    <w:p>
      <w:pPr>
        <w:pStyle w:val="BodyText"/>
      </w:pPr>
      <w:r>
        <w:rPr>
          <w:b/>
          <w:bCs/>
        </w:rPr>
        <w:t xml:space="preserve">What is recorded each minute.</w:t>
      </w:r>
      <w:r>
        <w:t xml:space="preserve"> </w:t>
      </w:r>
      <w:r>
        <w:t xml:space="preserve">Heart rate at the end of the stage, a 0-10 overall symptom severity score, and the specific symptoms the patient tapped from their pre-selected list. Rate of perceived exertion is</w:t>
      </w:r>
      <w:r>
        <w:t xml:space="preserve"> </w:t>
      </w:r>
      <w:r>
        <w:rPr>
          <w:b/>
          <w:bCs/>
        </w:rPr>
        <w:t xml:space="preserve">not</w:t>
      </w:r>
      <w:r>
        <w:t xml:space="preserve"> </w:t>
      </w:r>
      <w:r>
        <w:t xml:space="preserve">recorded per minute. Instead, an</w:t>
      </w:r>
      <w:r>
        <w:t xml:space="preserve"> </w:t>
      </w:r>
      <w:r>
        <w:rPr>
          <w:b/>
          <w:bCs/>
        </w:rPr>
        <w:t xml:space="preserve">exhaustion marker</w:t>
      </w:r>
      <w:r>
        <w:t xml:space="preserve"> </w:t>
      </w:r>
      <w:r>
        <w:t xml:space="preserve">is captured as a single end-of-test determination: the patient may declare that they have reached their limit, which stamps the test as exhaustion-limited (an RPE 17 equivalent on the Borg 6-20 scale [3]) and logs the current stage as final. This is a deliberate simplification of the clinic procedure and a departure from it; it means the workflow carries no per-minute perceived-exertion curve.</w:t>
      </w:r>
    </w:p>
    <w:p>
      <w:pPr>
        <w:pStyle w:val="BodyText"/>
      </w:pPr>
      <w:r>
        <w:rPr>
          <w:b/>
          <w:bCs/>
        </w:rPr>
        <w:t xml:space="preserve">Threshold definition.</w:t>
      </w:r>
      <w:r>
        <w:t xml:space="preserve"> </w:t>
      </w:r>
      <w:r>
        <w:t xml:space="preserve">HRt is the heart rate recorded at the</w:t>
      </w:r>
      <w:r>
        <w:t xml:space="preserve"> </w:t>
      </w:r>
      <w:r>
        <w:rPr>
          <w:b/>
          <w:bCs/>
        </w:rPr>
        <w:t xml:space="preserve">first stage at which the symptom score rises 3 or more points above the resting baseline</w:t>
      </w:r>
      <w:r>
        <w:t xml:space="preserve"> </w:t>
      </w:r>
      <w:r>
        <w:t xml:space="preserve">- the validated diagnostic provocation criterion [3]. Note the deliberate distinction from the 2 or more-point within-session</w:t>
      </w:r>
      <w:r>
        <w:t xml:space="preserve"> </w:t>
      </w:r>
      <w:r>
        <w:rPr>
          <w:i/>
          <w:iCs/>
        </w:rPr>
        <w:t xml:space="preserve">training</w:t>
      </w:r>
      <w:r>
        <w:t xml:space="preserve"> </w:t>
      </w:r>
      <w:r>
        <w:t xml:space="preserve">stop rule of Stages 3 and 4: the two thresholds are different numbers serving different purposes and must not be conflated.</w:t>
      </w:r>
    </w:p>
    <w:p>
      <w:pPr>
        <w:pStyle w:val="BodyText"/>
      </w:pPr>
      <w:r>
        <w:rPr>
          <w:b/>
          <w:bCs/>
        </w:rPr>
        <w:t xml:space="preserve">Interpretation, and its limits.</w:t>
      </w:r>
      <w:r>
        <w:t xml:space="preserve"> </w:t>
      </w:r>
      <w:r>
        <w:t xml:space="preserve">Three interpretations are produced:</w:t>
      </w:r>
    </w:p>
    <w:p>
      <w:pPr>
        <w:pStyle w:val="Compact"/>
        <w:numPr>
          <w:ilvl w:val="0"/>
          <w:numId w:val="1002"/>
        </w:numPr>
      </w:pPr>
      <w:r>
        <w:rPr>
          <w:b/>
          <w:bCs/>
        </w:rPr>
        <w:t xml:space="preserve">Physiologic</w:t>
      </w:r>
      <w:r>
        <w:t xml:space="preserve"> </w:t>
      </w:r>
      <w:r>
        <w:t xml:space="preserve">- a 3 or more-point rise occurred; HRt is obtained; proceed to prescription.</w:t>
      </w:r>
    </w:p>
    <w:p>
      <w:pPr>
        <w:pStyle w:val="Compact"/>
        <w:numPr>
          <w:ilvl w:val="0"/>
          <w:numId w:val="1002"/>
        </w:numPr>
      </w:pPr>
      <w:r>
        <w:rPr>
          <w:b/>
          <w:bCs/>
        </w:rPr>
        <w:t xml:space="preserve">Red flag</w:t>
      </w:r>
      <w:r>
        <w:t xml:space="preserve"> </w:t>
      </w:r>
      <w:r>
        <w:t xml:space="preserve">- the test was halted for a warning symptom. No HRt is produced from an unsafe stop, and the red-flag branch short-circuits before any threshold detection is attempted.</w:t>
      </w:r>
    </w:p>
    <w:p>
      <w:pPr>
        <w:pStyle w:val="Compact"/>
        <w:numPr>
          <w:ilvl w:val="0"/>
          <w:numId w:val="1002"/>
        </w:numPr>
      </w:pPr>
      <w:r>
        <w:rPr>
          <w:b/>
          <w:bCs/>
        </w:rPr>
        <w:t xml:space="preserve">No-intolerance</w:t>
      </w:r>
      <w:r>
        <w:t xml:space="preserve"> </w:t>
      </w:r>
      <w:r>
        <w:t xml:space="preserve">- no 3 or more-point rise occurred. On a first test this suggests the patient’s symptoms are unlikely to be driven by exercise intolerance, and the workup should be redirected (cervicogenic, vestibular, mood). On a re-test, it is the recovery signal.</w:t>
      </w:r>
    </w:p>
    <w:p>
      <w:pPr>
        <w:pStyle w:val="FirstParagraph"/>
      </w:pPr>
      <w:r>
        <w:rPr>
          <w:b/>
          <w:bCs/>
        </w:rPr>
        <w:t xml:space="preserve">An important limitation of the implemented classification must be disclosed here rather than in the limitations section alone.</w:t>
      </w:r>
      <w:r>
        <w:t xml:space="preserve"> </w:t>
      </w:r>
      <w:r>
        <w:t xml:space="preserve">Termination type does</w:t>
      </w:r>
      <w:r>
        <w:t xml:space="preserve"> </w:t>
      </w:r>
      <w:r>
        <w:rPr>
          <w:i/>
          <w:iCs/>
        </w:rPr>
        <w:t xml:space="preserve">not</w:t>
      </w:r>
      <w:r>
        <w:t xml:space="preserve"> </w:t>
      </w:r>
      <w:r>
        <w:t xml:space="preserve">gate the no-intolerance classification. A test that the patient voluntarily stopped early, a test that ran to the 20-stage maximum, and a test terminated at genuine volitional exhaustion all classify identically as</w:t>
      </w:r>
      <w:r>
        <w:t xml:space="preserve"> </w:t>
      </w:r>
      <w:r>
        <w:rPr>
          <w:b/>
          <w:bCs/>
        </w:rPr>
        <w:t xml:space="preserve">no-intolerance</w:t>
      </w:r>
      <w:r>
        <w:t xml:space="preserve">, because the rule is simply the absence of a 3 or more-point rise. Since a no-intolerance result on a re-test is what raises the clearance-review flag, an under-exerted test can in principle produce a spuriously reassuring result. Two mitigations apply, and neither eliminates the problem: the result is a</w:t>
      </w:r>
      <w:r>
        <w:t xml:space="preserve"> </w:t>
      </w:r>
      <w:r>
        <w:rPr>
          <w:i/>
          <w:iCs/>
        </w:rPr>
        <w:t xml:space="preserve">review flag</w:t>
      </w:r>
      <w:r>
        <w:t xml:space="preserve"> </w:t>
      </w:r>
      <w:r>
        <w:t xml:space="preserve">only, requiring a clinician to inspect the stage table and sign off before it carries any clearance meaning; and on ingest the server independently re-derives the interpretation and HRt from the raw stage data rather than trusting the client’s claim, overwriting the client’s interpretation, HRt, and band with the server-derived values. A clinician reviewing a no-intolerance result should therefore inspect the stage count, the peak heart rate, and the exhaustion marker before treating it as evidence of recovered tolerance.</w:t>
      </w:r>
    </w:p>
    <w:p>
      <w:pPr>
        <w:pStyle w:val="BodyText"/>
      </w:pPr>
      <w:r>
        <w:rPr>
          <w:b/>
          <w:bCs/>
        </w:rPr>
        <w:t xml:space="preserve">Prognostic flag (recorded; never a dose input).</w:t>
      </w:r>
      <w:r>
        <w:t xml:space="preserve"> </w:t>
      </w:r>
      <w:r>
        <w:t xml:space="preserve">An absolute HRt below</w:t>
      </w:r>
      <w:r>
        <w:t xml:space="preserve"> </w:t>
      </w:r>
      <w:r>
        <w:rPr>
          <w:b/>
          <w:bCs/>
        </w:rPr>
        <w:t xml:space="preserve">135 bpm</w:t>
      </w:r>
      <w:r>
        <w:t xml:space="preserve"> </w:t>
      </w:r>
      <w:r>
        <w:t xml:space="preserve">at presentation is associated with prolonged (30-day) recovery [12]. The workflow surfaces this to the clinician as a prognostic signal. The published criterion also includes a blunted heart-rate response (threshold minus resting no more than 50 bpm), and the reference implementation contains that arm of the rule - but no resting heart rate is captured anywhere in the current workflow, so</w:t>
      </w:r>
      <w:r>
        <w:t xml:space="preserve"> </w:t>
      </w:r>
      <w:r>
        <w:rPr>
          <w:b/>
          <w:bCs/>
        </w:rPr>
        <w:t xml:space="preserve">only the absolute HRt &lt;135 bpm criterion is operative</w:t>
      </w:r>
      <w:r>
        <w:t xml:space="preserve">. We state this rather than claiming the composite Haider criterion is applied, because it is not.</w:t>
      </w:r>
    </w:p>
    <w:p>
      <w:pPr>
        <w:pStyle w:val="BodyText"/>
      </w:pPr>
      <w:r>
        <w:t xml:space="preserve">The flag is</w:t>
      </w:r>
      <w:r>
        <w:t xml:space="preserve"> </w:t>
      </w:r>
      <w:r>
        <w:rPr>
          <w:b/>
          <w:bCs/>
        </w:rPr>
        <w:t xml:space="preserve">prognostic only and is never a dose modifier</w:t>
      </w:r>
      <w:r>
        <w:t xml:space="preserve">, by explicit design. There is no published rule that shortens the starting dose according to severity of exercise intolerance, so the workflow does not invent one; it surfaces the risk and hands dose judgement to the clinician (§7).</w:t>
      </w:r>
    </w:p>
    <w:p>
      <w:pPr>
        <w:pStyle w:val="BodyText"/>
      </w:pPr>
      <w:r>
        <w:rPr>
          <w:i/>
          <w:iCs/>
        </w:rPr>
        <w:t xml:space="preserve">Role:</w:t>
      </w:r>
      <w:r>
        <w:t xml:space="preserve"> </w:t>
      </w:r>
      <w:r>
        <w:t xml:space="preserve">clinician enables the test and interprets the termination.</w:t>
      </w:r>
      <w:r>
        <w:t xml:space="preserve"> </w:t>
      </w:r>
      <w:r>
        <w:rPr>
          <w:i/>
          <w:iCs/>
        </w:rPr>
        <w:t xml:space="preserve">Output:</w:t>
      </w:r>
      <w:r>
        <w:t xml:space="preserve"> </w:t>
      </w:r>
      <w:r>
        <w:t xml:space="preserve">HRt in bpm plus an interpretation, synced to the clinic record as the first point on the recovery trajectory.</w:t>
      </w:r>
    </w:p>
    <w:bookmarkEnd w:id="11"/>
    <w:bookmarkStart w:id="12" w:name="Xeb443cb7fff0e141b9251f8cbc811e1ab66c328"/>
    <w:p>
      <w:pPr>
        <w:pStyle w:val="Heading3"/>
      </w:pPr>
      <w:r>
        <w:t xml:space="preserve">Stage 3 - Individualised band prescription</w:t>
      </w:r>
    </w:p>
    <w:p>
      <w:pPr>
        <w:pStyle w:val="FirstParagraph"/>
      </w:pPr>
      <w:r>
        <w:t xml:space="preserve">The concussion prescription, taken directly from the cited literature and not adjusted:</w:t>
      </w:r>
    </w:p>
    <w:p>
      <w:pPr>
        <w:pStyle w:val="Compact"/>
        <w:numPr>
          <w:ilvl w:val="0"/>
          <w:numId w:val="1003"/>
        </w:numPr>
      </w:pPr>
      <w:r>
        <w:rPr>
          <w:b/>
          <w:bCs/>
        </w:rPr>
        <w:t xml:space="preserve">Intensity: 80-90% of HRt.</w:t>
      </w:r>
      <w:r>
        <w:t xml:space="preserve"> </w:t>
      </w:r>
      <w:r>
        <w:t xml:space="preserve">The 80% floor was the intensity used in the pivotal randomised trial [5]; the 80-90% band is the operational range in the practice literature [11,13]. The workflow computes the lower bound as 80% of HRt and the upper bound as 90% of HRt, each rounded to the nearest bpm. The upper bound is an explicit do-not-exceed ceiling; the lower bound guarantees a therapeutic stimulus.</w:t>
      </w:r>
      <w:r>
        <w:t xml:space="preserve"> </w:t>
      </w:r>
      <w:r>
        <w:rPr>
          <w:b/>
          <w:bCs/>
        </w:rPr>
        <w:t xml:space="preserve">No floor or clamp is applied</w:t>
      </w:r>
      <w:r>
        <w:t xml:space="preserve">: a low measured HRt yields a correspondingly low absolute band, and that gentleness</w:t>
      </w:r>
      <w:r>
        <w:t xml:space="preserve"> </w:t>
      </w:r>
      <w:r>
        <w:rPr>
          <w:i/>
          <w:iCs/>
        </w:rPr>
        <w:t xml:space="preserve">is</w:t>
      </w:r>
      <w:r>
        <w:t xml:space="preserve"> </w:t>
      </w:r>
      <w:r>
        <w:t xml:space="preserve">the individualisation the evidence supports.</w:t>
      </w:r>
    </w:p>
    <w:p>
      <w:pPr>
        <w:pStyle w:val="Compact"/>
        <w:numPr>
          <w:ilvl w:val="0"/>
          <w:numId w:val="1003"/>
        </w:numPr>
      </w:pPr>
      <w:r>
        <w:rPr>
          <w:b/>
          <w:bCs/>
        </w:rPr>
        <w:t xml:space="preserve">Duration: 20 minutes per day, fixed from day one.</w:t>
      </w:r>
      <w:r>
        <w:t xml:space="preserve"> </w:t>
      </w:r>
      <w:r>
        <w:t xml:space="preserve">Session length is not ramped over the programme. This is a common point of clinical error: progression is by heart rate, not by lengthening the session [13].</w:t>
      </w:r>
    </w:p>
    <w:p>
      <w:pPr>
        <w:pStyle w:val="Compact"/>
        <w:numPr>
          <w:ilvl w:val="0"/>
          <w:numId w:val="1003"/>
        </w:numPr>
      </w:pPr>
      <w:r>
        <w:rPr>
          <w:b/>
          <w:bCs/>
        </w:rPr>
        <w:t xml:space="preserve">Frequency: most days.</w:t>
      </w:r>
      <w:r>
        <w:t xml:space="preserve"> </w:t>
      </w:r>
      <w:r>
        <w:t xml:space="preserve">The reference implementation prescribes 6 days per week, within the 5-7 days per week (</w:t>
      </w:r>
      <w:r>
        <w:t xml:space="preserve">“daily / most days”</w:t>
      </w:r>
      <w:r>
        <w:t xml:space="preserve">) range used in the trials and the practice literature [5,13]. No rest days are scheduled.</w:t>
      </w:r>
    </w:p>
    <w:p>
      <w:pPr>
        <w:pStyle w:val="Compact"/>
        <w:numPr>
          <w:ilvl w:val="0"/>
          <w:numId w:val="1003"/>
        </w:numPr>
      </w:pPr>
      <w:r>
        <w:rPr>
          <w:b/>
          <w:bCs/>
        </w:rPr>
        <w:t xml:space="preserve">Within-session stop rule: a 2 or more-point symptom rise</w:t>
      </w:r>
      <w:r>
        <w:t xml:space="preserve"> </w:t>
      </w:r>
      <w:r>
        <w:t xml:space="preserve">above the pre-session score on the 0-10 scale [5], consistent with the consensus tolerance band [4]. This 2 or more-point</w:t>
      </w:r>
      <w:r>
        <w:t xml:space="preserve"> </w:t>
      </w:r>
      <w:r>
        <w:rPr>
          <w:i/>
          <w:iCs/>
        </w:rPr>
        <w:t xml:space="preserve">training</w:t>
      </w:r>
      <w:r>
        <w:t xml:space="preserve"> </w:t>
      </w:r>
      <w:r>
        <w:t xml:space="preserve">threshold is deliberately lower than, and distinct from, the 3 or more-point</w:t>
      </w:r>
      <w:r>
        <w:t xml:space="preserve"> </w:t>
      </w:r>
      <w:r>
        <w:rPr>
          <w:i/>
          <w:iCs/>
        </w:rPr>
        <w:t xml:space="preserve">diagnostic</w:t>
      </w:r>
      <w:r>
        <w:t xml:space="preserve"> </w:t>
      </w:r>
      <w:r>
        <w:t xml:space="preserve">threshold of Stage 2.</w:t>
      </w:r>
    </w:p>
    <w:p>
      <w:pPr>
        <w:pStyle w:val="Compact"/>
        <w:numPr>
          <w:ilvl w:val="0"/>
          <w:numId w:val="1003"/>
        </w:numPr>
      </w:pPr>
      <w:r>
        <w:rPr>
          <w:b/>
          <w:bCs/>
        </w:rPr>
        <w:t xml:space="preserve">Other conditions.</w:t>
      </w:r>
      <w:r>
        <w:t xml:space="preserve"> </w:t>
      </w:r>
      <w:r>
        <w:t xml:space="preserve">The engine carries more conservative band and dose presets for moderate-to-severe traumatic brain injury and other neurological and non-neurological rehabilitation contexts, sharing the identical safety logic and differing only in the percentage band and dose defaults.</w:t>
      </w:r>
      <w:r>
        <w:t xml:space="preserve"> </w:t>
      </w:r>
      <w:r>
        <w:rPr>
          <w:b/>
          <w:bCs/>
        </w:rPr>
        <w:t xml:space="preserve">None of these presets is validated by the concussion trials</w:t>
      </w:r>
      <w:r>
        <w:t xml:space="preserve">, and they are outside the scope of this paper.</w:t>
      </w:r>
    </w:p>
    <w:p>
      <w:pPr>
        <w:pStyle w:val="FirstParagraph"/>
      </w:pPr>
      <w:r>
        <w:rPr>
          <w:i/>
          <w:iCs/>
        </w:rPr>
        <w:t xml:space="preserve">Output:</w:t>
      </w:r>
      <w:r>
        <w:t xml:space="preserve"> </w:t>
      </w:r>
      <w:r>
        <w:t xml:space="preserve">a plain-language prescription the patient can follow, and a structured band (lower and upper bpm) that the tool enforces live.</w:t>
      </w:r>
    </w:p>
    <w:bookmarkEnd w:id="12"/>
    <w:bookmarkStart w:id="13" w:name="Xdd918cde6aefd6633beb4fa6631c317cce2f0af"/>
    <w:p>
      <w:pPr>
        <w:pStyle w:val="Heading3"/>
      </w:pPr>
      <w:r>
        <w:t xml:space="preserve">Stage 4 - Live-monitored between-visit rehabilitation</w:t>
      </w:r>
    </w:p>
    <w:p>
      <w:pPr>
        <w:pStyle w:val="FirstParagraph"/>
      </w:pPr>
      <w:r>
        <w:t xml:space="preserve">This is the stage that no paper prescription can deliver.</w:t>
      </w:r>
    </w:p>
    <w:p>
      <w:pPr>
        <w:numPr>
          <w:ilvl w:val="0"/>
          <w:numId w:val="1004"/>
        </w:numPr>
      </w:pPr>
      <w:r>
        <w:rPr>
          <w:b/>
          <w:bCs/>
        </w:rPr>
        <w:t xml:space="preserve">Live band feedback.</w:t>
      </w:r>
      <w:r>
        <w:t xml:space="preserve"> </w:t>
      </w:r>
      <w:r>
        <w:t xml:space="preserve">During each home session the measured heart rate is displayed against the band in real time as</w:t>
      </w:r>
      <w:r>
        <w:t xml:space="preserve"> </w:t>
      </w:r>
      <w:r>
        <w:rPr>
          <w:i/>
          <w:iCs/>
        </w:rPr>
        <w:t xml:space="preserve">under / in-zone / over</w:t>
      </w:r>
      <w:r>
        <w:t xml:space="preserve">, so the patient can self-dose to an otherwise invisible ceiling. If the signal is lost, the displayed value is cleared rather than held.</w:t>
      </w:r>
    </w:p>
    <w:p>
      <w:pPr>
        <w:numPr>
          <w:ilvl w:val="0"/>
          <w:numId w:val="1004"/>
        </w:numPr>
      </w:pPr>
      <w:r>
        <w:rPr>
          <w:b/>
          <w:bCs/>
        </w:rPr>
        <w:t xml:space="preserve">Within-session stop rule.</w:t>
      </w:r>
      <w:r>
        <w:t xml:space="preserve"> </w:t>
      </w:r>
      <w:r>
        <w:t xml:space="preserve">If symptoms rise 2 or more points above the pre-session score, the tool prompts the patient to stop, encoding the consensus tolerance band rather than relying on recall.</w:t>
      </w:r>
    </w:p>
    <w:p>
      <w:pPr>
        <w:numPr>
          <w:ilvl w:val="0"/>
          <w:numId w:val="1004"/>
        </w:numPr>
      </w:pPr>
      <w:r>
        <w:rPr>
          <w:b/>
          <w:bCs/>
        </w:rPr>
        <w:t xml:space="preserve">Structured session log.</w:t>
      </w:r>
      <w:r>
        <w:t xml:space="preserve"> </w:t>
      </w:r>
      <w:r>
        <w:t xml:space="preserve">Each session records average and peak heart rate,</w:t>
      </w:r>
      <w:r>
        <w:t xml:space="preserve"> </w:t>
      </w:r>
      <w:r>
        <w:rPr>
          <w:b/>
          <w:bCs/>
        </w:rPr>
        <w:t xml:space="preserve">actual elapsed minutes completed</w:t>
      </w:r>
      <w:r>
        <w:t xml:space="preserve"> </w:t>
      </w:r>
      <w:r>
        <w:t xml:space="preserve">(never the prescribed target), pre-session and peak symptom scores, whether the session ended on the stop rule, an immediate post-session self-report, a next-day check-in, time-in-zone, and the verification status and verified-reading percentage of the heart-rate data.</w:t>
      </w:r>
    </w:p>
    <w:p>
      <w:pPr>
        <w:numPr>
          <w:ilvl w:val="0"/>
          <w:numId w:val="1004"/>
        </w:numPr>
      </w:pPr>
      <w:r>
        <w:rPr>
          <w:b/>
          <w:bCs/>
        </w:rPr>
        <w:t xml:space="preserve">Return to the prescriber.</w:t>
      </w:r>
      <w:r>
        <w:t xml:space="preserve"> </w:t>
      </w:r>
      <w:r>
        <w:t xml:space="preserve">Where the patient has entered a clinic code, every threshold test and training session syncs to the clinician dashboard: HRt trajectory, band, minutes, symptom deltas, and flares. A short-lived live tick lets the clinician observe an in-progress session and drops the patient from the live view when the session ends.</w:t>
      </w:r>
      <w:r>
        <w:t xml:space="preserve"> </w:t>
      </w:r>
      <w:r>
        <w:rPr>
          <w:b/>
          <w:bCs/>
        </w:rPr>
        <w:t xml:space="preserve">Patients operating self-guided, without a clinic code, transmit nothing; all state remains local to the device.</w:t>
      </w:r>
    </w:p>
    <w:p>
      <w:pPr>
        <w:numPr>
          <w:ilvl w:val="0"/>
          <w:numId w:val="1004"/>
        </w:numPr>
      </w:pPr>
      <w:r>
        <w:rPr>
          <w:b/>
          <w:bCs/>
        </w:rPr>
        <w:t xml:space="preserve">Progression: by heart rate, clinician-reviewable, and verification-gated.</w:t>
      </w:r>
      <w:r>
        <w:t xml:space="preserve"> </w:t>
      </w:r>
      <w:r>
        <w:t xml:space="preserve">In the trials, progression is by heart rate - the ceiling rises as tolerance improves while the session stays at approximately 20 minutes [5,6,13]. The workflow operationalises this as a proposal for clinician review, evaluated in the following order:</w:t>
      </w:r>
    </w:p>
    <w:p>
      <w:pPr>
        <w:pStyle w:val="Compact"/>
        <w:numPr>
          <w:ilvl w:val="1"/>
          <w:numId w:val="1005"/>
        </w:numPr>
      </w:pPr>
      <w:r>
        <w:rPr>
          <w:b/>
          <w:bCs/>
        </w:rPr>
        <w:t xml:space="preserve">No session history</w:t>
      </w:r>
      <w:r>
        <w:t xml:space="preserve"> </w:t>
      </w:r>
      <w:r>
        <w:t xml:space="preserve">then hold.</w:t>
      </w:r>
    </w:p>
    <w:p>
      <w:pPr>
        <w:pStyle w:val="Compact"/>
        <w:numPr>
          <w:ilvl w:val="1"/>
          <w:numId w:val="1005"/>
        </w:numPr>
      </w:pPr>
      <w:r>
        <w:rPr>
          <w:b/>
          <w:bCs/>
        </w:rPr>
        <w:t xml:space="preserve">Two consecutive flaring sessions</w:t>
      </w:r>
      <w:r>
        <w:t xml:space="preserve"> </w:t>
      </w:r>
      <w:r>
        <w:t xml:space="preserve">then</w:t>
      </w:r>
      <w:r>
        <w:t xml:space="preserve"> </w:t>
      </w:r>
      <w:r>
        <w:rPr>
          <w:b/>
          <w:bCs/>
        </w:rPr>
        <w:t xml:space="preserve">rest</w:t>
      </w:r>
      <w:r>
        <w:t xml:space="preserve">. Take a rest day, reduce the ceiling by 5 bpm (floored at the lower bound of the band), and check in with the clinician before resuming.</w:t>
      </w:r>
      <w:r>
        <w:t xml:space="preserve"> </w:t>
      </w:r>
      <w:r>
        <w:rPr>
          <w:i/>
          <w:iCs/>
        </w:rPr>
        <w:t xml:space="preserve">This is a design decision, not a trial-specified rule</w:t>
      </w:r>
      <w:r>
        <w:t xml:space="preserve"> </w:t>
      </w:r>
      <w:r>
        <w:t xml:space="preserve">- see §7.</w:t>
      </w:r>
    </w:p>
    <w:p>
      <w:pPr>
        <w:pStyle w:val="Compact"/>
        <w:numPr>
          <w:ilvl w:val="1"/>
          <w:numId w:val="1005"/>
        </w:numPr>
      </w:pPr>
      <w:r>
        <w:rPr>
          <w:b/>
          <w:bCs/>
        </w:rPr>
        <w:t xml:space="preserve">Two or more flaring sessions within the last three</w:t>
      </w:r>
      <w:r>
        <w:t xml:space="preserve"> </w:t>
      </w:r>
      <w:r>
        <w:t xml:space="preserve">then</w:t>
      </w:r>
      <w:r>
        <w:t xml:space="preserve"> </w:t>
      </w:r>
      <w:r>
        <w:rPr>
          <w:b/>
          <w:bCs/>
        </w:rPr>
        <w:t xml:space="preserve">regress</w:t>
      </w:r>
      <w:r>
        <w:t xml:space="preserve">: reduce the ceiling by 5 bpm and continue daily exercise at the reduced intensity.</w:t>
      </w:r>
    </w:p>
    <w:p>
      <w:pPr>
        <w:pStyle w:val="Compact"/>
        <w:numPr>
          <w:ilvl w:val="1"/>
          <w:numId w:val="1005"/>
        </w:numPr>
      </w:pPr>
      <w:r>
        <w:rPr>
          <w:b/>
          <w:bCs/>
        </w:rPr>
        <w:t xml:space="preserve">Any single recent flare</w:t>
      </w:r>
      <w:r>
        <w:t xml:space="preserve"> </w:t>
      </w:r>
      <w:r>
        <w:t xml:space="preserve">then</w:t>
      </w:r>
      <w:r>
        <w:t xml:space="preserve"> </w:t>
      </w:r>
      <w:r>
        <w:rPr>
          <w:b/>
          <w:bCs/>
        </w:rPr>
        <w:t xml:space="preserve">hold</w:t>
      </w:r>
      <w:r>
        <w:t xml:space="preserve"> </w:t>
      </w:r>
      <w:r>
        <w:t xml:space="preserve">until a clean run is achieved.</w:t>
      </w:r>
    </w:p>
    <w:p>
      <w:pPr>
        <w:pStyle w:val="Compact"/>
        <w:numPr>
          <w:ilvl w:val="1"/>
          <w:numId w:val="1005"/>
        </w:numPr>
      </w:pPr>
      <w:r>
        <w:rPr>
          <w:b/>
          <w:bCs/>
        </w:rPr>
        <w:t xml:space="preserve">Otherwise, advance</w:t>
      </w:r>
      <w:r>
        <w:t xml:space="preserve"> </w:t>
      </w:r>
      <w:r>
        <w:t xml:space="preserve">if and only if the last</w:t>
      </w:r>
      <w:r>
        <w:t xml:space="preserve"> </w:t>
      </w:r>
      <w:r>
        <w:rPr>
          <w:b/>
          <w:bCs/>
        </w:rPr>
        <w:t xml:space="preserve">three verified</w:t>
      </w:r>
      <w:r>
        <w:t xml:space="preserve"> </w:t>
      </w:r>
      <w:r>
        <w:t xml:space="preserve">sessions were all clean</w:t>
      </w:r>
      <w:r>
        <w:t xml:space="preserve"> </w:t>
      </w:r>
      <w:r>
        <w:rPr>
          <w:i/>
          <w:iCs/>
        </w:rPr>
        <w:t xml:space="preserve">and</w:t>
      </w:r>
      <w:r>
        <w:t xml:space="preserve"> </w:t>
      </w:r>
      <w:r>
        <w:t xml:space="preserve">each completed at least</w:t>
      </w:r>
      <w:r>
        <w:t xml:space="preserve"> </w:t>
      </w:r>
      <w:r>
        <w:rPr>
          <w:b/>
          <w:bCs/>
        </w:rPr>
        <w:t xml:space="preserve">80% of the prescribed minutes</w:t>
      </w:r>
      <w:r>
        <w:t xml:space="preserve">. The ceiling rises by</w:t>
      </w:r>
      <w:r>
        <w:t xml:space="preserve"> </w:t>
      </w:r>
      <w:r>
        <w:rPr>
          <w:b/>
          <w:bCs/>
        </w:rPr>
        <w:t xml:space="preserve">5 bpm</w:t>
      </w:r>
      <w:r>
        <w:t xml:space="preserve">, capped at the measured HRt.</w:t>
      </w:r>
    </w:p>
    <w:p>
      <w:pPr>
        <w:pStyle w:val="Compact"/>
        <w:numPr>
          <w:ilvl w:val="1"/>
          <w:numId w:val="1005"/>
        </w:numPr>
      </w:pPr>
      <w:r>
        <w:rPr>
          <w:b/>
          <w:bCs/>
        </w:rPr>
        <w:t xml:space="preserve">At the cap</w:t>
      </w:r>
      <w:r>
        <w:t xml:space="preserve"> </w:t>
      </w:r>
      <w:r>
        <w:t xml:space="preserve">- where the ceiling has reached the measured HRt - the proposal becomes</w:t>
      </w:r>
      <w:r>
        <w:t xml:space="preserve"> </w:t>
      </w:r>
      <w:r>
        <w:rPr>
          <w:b/>
          <w:bCs/>
        </w:rPr>
        <w:t xml:space="preserve">retest</w:t>
      </w:r>
      <w:r>
        <w:t xml:space="preserve"> </w:t>
      </w:r>
      <w:r>
        <w:t xml:space="preserve">rather than advance. A fresh graded test is the only route to a higher band.</w:t>
      </w:r>
    </w:p>
    <w:p>
      <w:pPr>
        <w:numPr>
          <w:ilvl w:val="0"/>
          <w:numId w:val="1000"/>
        </w:numPr>
      </w:pPr>
      <w:r>
        <w:t xml:space="preserve">A session counts as a flare if the patient reported feeling worse at the next-day check-in, or if the peak symptom score rose 2 or more points above the pre-session score.</w:t>
      </w:r>
    </w:p>
    <w:p>
      <w:pPr>
        <w:numPr>
          <w:ilvl w:val="0"/>
          <w:numId w:val="1000"/>
        </w:numPr>
      </w:pPr>
      <w:r>
        <w:rPr>
          <w:b/>
          <w:bCs/>
        </w:rPr>
        <w:t xml:space="preserve">The verification gate is deliberately asymmetric.</w:t>
      </w:r>
      <w:r>
        <w:t xml:space="preserve"> </w:t>
      </w:r>
      <w:r>
        <w:t xml:space="preserve">Only sessions verified against a live Bluetooth wearable stream - at least 80% of readings matching a fresh live feed at the moment of logging - count as evidence for an</w:t>
      </w:r>
      <w:r>
        <w:t xml:space="preserve"> </w:t>
      </w:r>
      <w:r>
        <w:rPr>
          <w:i/>
          <w:iCs/>
        </w:rPr>
        <w:t xml:space="preserve">advance</w:t>
      </w:r>
      <w:r>
        <w:t xml:space="preserve">. Manual and camera-sourced sessions can never advance the band. But</w:t>
      </w:r>
      <w:r>
        <w:t xml:space="preserve"> </w:t>
      </w:r>
      <w:r>
        <w:rPr>
          <w:i/>
          <w:iCs/>
        </w:rPr>
        <w:t xml:space="preserve">every</w:t>
      </w:r>
      <w:r>
        <w:t xml:space="preserve"> </w:t>
      </w:r>
      <w:r>
        <w:t xml:space="preserve">session, verified or not, counts as evidence for a</w:t>
      </w:r>
      <w:r>
        <w:t xml:space="preserve"> </w:t>
      </w:r>
      <w:r>
        <w:rPr>
          <w:i/>
          <w:iCs/>
        </w:rPr>
        <w:t xml:space="preserve">rest</w:t>
      </w:r>
      <w:r>
        <w:t xml:space="preserve"> </w:t>
      </w:r>
      <w:r>
        <w:t xml:space="preserve">or</w:t>
      </w:r>
      <w:r>
        <w:t xml:space="preserve"> </w:t>
      </w:r>
      <w:r>
        <w:rPr>
          <w:i/>
          <w:iCs/>
        </w:rPr>
        <w:t xml:space="preserve">regress</w:t>
      </w:r>
      <w:r>
        <w:t xml:space="preserve"> </w:t>
      </w:r>
      <w:r>
        <w:t xml:space="preserve">decision. Safety evidence is never gated on provenance; only dose escalation is.</w:t>
      </w:r>
    </w:p>
    <w:p>
      <w:pPr>
        <w:numPr>
          <w:ilvl w:val="0"/>
          <w:numId w:val="1000"/>
        </w:numPr>
      </w:pPr>
      <w:r>
        <w:t xml:space="preserve">The regression window is bounded to recent sessions, so that an old, long-since-resolved flare cannot ratchet the ceiling downward indefinitely once a patient is running clean.</w:t>
      </w:r>
    </w:p>
    <w:p>
      <w:pPr>
        <w:numPr>
          <w:ilvl w:val="0"/>
          <w:numId w:val="1004"/>
        </w:numPr>
      </w:pPr>
      <w:r>
        <w:rPr>
          <w:b/>
          <w:bCs/>
        </w:rPr>
        <w:t xml:space="preserve">Re-test cadence.</w:t>
      </w:r>
      <w:r>
        <w:t xml:space="preserve"> </w:t>
      </w:r>
      <w:r>
        <w:t xml:space="preserve">Graded re-testing is weekly in the trial protocols and one-to-two-weekly in clinical practice, subject to the 48-hour minimum spacing and the one-test-per-day rule of Stage 1.</w:t>
      </w:r>
    </w:p>
    <w:p>
      <w:pPr>
        <w:pStyle w:val="FirstParagraph"/>
      </w:pPr>
      <w:r>
        <w:rPr>
          <w:i/>
          <w:iCs/>
        </w:rPr>
        <w:t xml:space="preserve">Role:</w:t>
      </w:r>
      <w:r>
        <w:t xml:space="preserve"> </w:t>
      </w:r>
      <w:r>
        <w:t xml:space="preserve">patient executes; clinician monitors and approves progression.</w:t>
      </w:r>
      <w:r>
        <w:t xml:space="preserve"> </w:t>
      </w:r>
      <w:r>
        <w:rPr>
          <w:i/>
          <w:iCs/>
        </w:rPr>
        <w:t xml:space="preserve">Stopping criteria:</w:t>
      </w:r>
      <w:r>
        <w:t xml:space="preserve"> </w:t>
      </w:r>
      <w:r>
        <w:t xml:space="preserve">red flag at any point; repeated provocation then rest, regress, or referral.</w:t>
      </w:r>
    </w:p>
    <w:bookmarkEnd w:id="13"/>
    <w:bookmarkStart w:id="14" w:name="stage-5---graded-return"/>
    <w:p>
      <w:pPr>
        <w:pStyle w:val="Heading3"/>
      </w:pPr>
      <w:r>
        <w:t xml:space="preserve">Stage 5 - Graded return</w:t>
      </w:r>
    </w:p>
    <w:p>
      <w:pPr>
        <w:pStyle w:val="Compact"/>
        <w:numPr>
          <w:ilvl w:val="0"/>
          <w:numId w:val="1006"/>
        </w:numPr>
      </w:pPr>
      <w:r>
        <w:rPr>
          <w:b/>
          <w:bCs/>
        </w:rPr>
        <w:t xml:space="preserve">Serial HRt as the objective recovery trajectory.</w:t>
      </w:r>
      <w:r>
        <w:t xml:space="preserve"> </w:t>
      </w:r>
      <w:r>
        <w:t xml:space="preserve">Repeated graded testing tracks the threshold rising toward, or reaching, no-provocation. The Buffalo test is reliable as a repeated measure [14], which is what licenses serial testing as a trajectory rather than a series of unrelated snapshots.</w:t>
      </w:r>
    </w:p>
    <w:p>
      <w:pPr>
        <w:pStyle w:val="Compact"/>
        <w:numPr>
          <w:ilvl w:val="0"/>
          <w:numId w:val="1006"/>
        </w:numPr>
      </w:pPr>
      <w:r>
        <w:rPr>
          <w:b/>
          <w:bCs/>
        </w:rPr>
        <w:t xml:space="preserve">Clearance-review signal, not clearance.</w:t>
      </w:r>
      <w:r>
        <w:t xml:space="preserve"> </w:t>
      </w:r>
      <w:r>
        <w:t xml:space="preserve">A re-test returning</w:t>
      </w:r>
      <w:r>
        <w:t xml:space="preserve"> </w:t>
      </w:r>
      <w:r>
        <w:rPr>
          <w:i/>
          <w:iCs/>
        </w:rPr>
        <w:t xml:space="preserve">no-intolerance</w:t>
      </w:r>
      <w:r>
        <w:t xml:space="preserve"> </w:t>
      </w:r>
      <w:r>
        <w:t xml:space="preserve">surfaces automatically as a clinician clearance-</w:t>
      </w:r>
      <w:r>
        <w:rPr>
          <w:b/>
          <w:bCs/>
        </w:rPr>
        <w:t xml:space="preserve">review</w:t>
      </w:r>
      <w:r>
        <w:t xml:space="preserve"> </w:t>
      </w:r>
      <w:r>
        <w:t xml:space="preserve">flag. Given the classification limitation described in Stage 2, this flag is explicitly not a clearance determination and must be interpreted alongside the stage table.</w:t>
      </w:r>
    </w:p>
    <w:p>
      <w:pPr>
        <w:pStyle w:val="Compact"/>
        <w:numPr>
          <w:ilvl w:val="0"/>
          <w:numId w:val="1006"/>
        </w:numPr>
      </w:pPr>
      <w:r>
        <w:rPr>
          <w:b/>
          <w:bCs/>
        </w:rPr>
        <w:t xml:space="preserve">Integration with the consensus return strategy.</w:t>
      </w:r>
      <w:r>
        <w:t xml:space="preserve"> </w:t>
      </w:r>
      <w:r>
        <w:t xml:space="preserve">Clearance to progress aerobic load feeds into the consensus graded return-to-sport and return-to-learn strategy [4] - stepwise, symptom-limited progression through activity stages with the same tolerance rule - which remains a clinician-led decision. The workflow supplies objective aerobic-tolerance evidence. It does not, by itself, clear an athlete for contact, and no output of the software should be read as doing so.</w:t>
      </w:r>
    </w:p>
    <w:p>
      <w:r>
        <w:pict>
          <v:rect style="width:0;height:1.5pt" o:hralign="center" o:hrstd="t" o:hr="t"/>
        </w:pict>
      </w:r>
    </w:p>
    <w:bookmarkEnd w:id="14"/>
    <w:bookmarkEnd w:id="15"/>
    <w:bookmarkStart w:id="16" w:name="decision-rules-at-a-glance"/>
    <w:p>
      <w:pPr>
        <w:pStyle w:val="Heading2"/>
      </w:pPr>
      <w:r>
        <w:t xml:space="preserve">5. Decision rules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Rule</w:t>
            </w:r>
          </w:p>
        </w:tc>
        <w:tc>
          <w:tcPr/>
          <w:p>
            <w:pPr>
              <w:pStyle w:val="Compact"/>
            </w:pPr>
            <w:r>
              <w:t xml:space="preserve">Action</w:t>
            </w:r>
          </w:p>
        </w:tc>
      </w:tr>
      <w:tr>
        <w:tc>
          <w:tcPr/>
          <w:p>
            <w:pPr>
              <w:pStyle w:val="Compact"/>
            </w:pPr>
            <w:r>
              <w:t xml:space="preserve">Red flag at screen or mid-test</w:t>
            </w:r>
          </w:p>
        </w:tc>
        <w:tc>
          <w:tcPr/>
          <w:p>
            <w:pPr>
              <w:pStyle w:val="Compact"/>
            </w:pPr>
            <w:r>
              <w:t xml:space="preserve">Emergency red-flag list positive</w:t>
            </w:r>
          </w:p>
        </w:tc>
        <w:tc>
          <w:tcPr/>
          <w:p>
            <w:pPr>
              <w:pStyle w:val="Compact"/>
            </w:pPr>
            <w:r>
              <w:t xml:space="preserve">Halt; no HRt produced; urgent medical review; testing locked until clinician clearance</w:t>
            </w:r>
          </w:p>
        </w:tc>
      </w:tr>
      <w:tr>
        <w:tc>
          <w:tcPr/>
          <w:p>
            <w:pPr>
              <w:pStyle w:val="Compact"/>
            </w:pPr>
            <w:r>
              <w:t xml:space="preserve">Resting symptom score at least 8/10 pre-test</w:t>
            </w:r>
          </w:p>
        </w:tc>
        <w:tc>
          <w:tcPr/>
          <w:p>
            <w:pPr>
              <w:pStyle w:val="Compact"/>
            </w:pPr>
            <w:r>
              <w:t xml:space="preserve">Readiness gate</w:t>
            </w:r>
          </w:p>
        </w:tc>
        <w:tc>
          <w:tcPr/>
          <w:p>
            <w:pPr>
              <w:pStyle w:val="Compact"/>
            </w:pPr>
            <w:r>
              <w:t xml:space="preserve">Testing blocked; not a test day</w:t>
            </w:r>
          </w:p>
        </w:tc>
      </w:tr>
      <w:tr>
        <w:tc>
          <w:tcPr/>
          <w:p>
            <w:pPr>
              <w:pStyle w:val="Compact"/>
            </w:pPr>
            <w:r>
              <w:t xml:space="preserve">Test within 48 h of the last, or same calendar day</w:t>
            </w:r>
          </w:p>
        </w:tc>
        <w:tc>
          <w:tcPr/>
          <w:p>
            <w:pPr>
              <w:pStyle w:val="Compact"/>
            </w:pPr>
            <w:r>
              <w:t xml:space="preserve">Re-test spacing</w:t>
            </w:r>
          </w:p>
        </w:tc>
        <w:tc>
          <w:tcPr/>
          <w:p>
            <w:pPr>
              <w:pStyle w:val="Compact"/>
            </w:pPr>
            <w:r>
              <w:t xml:space="preserve">Blocked (48 h overridable by clinician direction or a just-regressed band; the one-per-day rule is absolute)</w:t>
            </w:r>
          </w:p>
        </w:tc>
      </w:tr>
      <w:tr>
        <w:tc>
          <w:tcPr/>
          <w:p>
            <w:pPr>
              <w:pStyle w:val="Compact"/>
            </w:pPr>
            <w:r>
              <w:t xml:space="preserve">Symptom score rises 3 or more points above rest during the graded ramp</w:t>
            </w:r>
          </w:p>
        </w:tc>
        <w:tc>
          <w:tcPr/>
          <w:p>
            <w:pPr>
              <w:pStyle w:val="Compact"/>
            </w:pPr>
            <w:r>
              <w:t xml:space="preserve">Diagnostic provocation criterion</w:t>
            </w:r>
          </w:p>
        </w:tc>
        <w:tc>
          <w:tcPr/>
          <w:p>
            <w:pPr>
              <w:pStyle w:val="Compact"/>
            </w:pPr>
            <w:r>
              <w:t xml:space="preserve">Record HRt at that minute; interpretation</w:t>
            </w:r>
            <w:r>
              <w:t xml:space="preserve"> </w:t>
            </w:r>
            <w:r>
              <w:rPr>
                <w:i/>
                <w:iCs/>
              </w:rPr>
              <w:t xml:space="preserve">physiologic</w:t>
            </w:r>
            <w:r>
              <w:t xml:space="preserve">; prescribe band</w:t>
            </w:r>
          </w:p>
        </w:tc>
      </w:tr>
      <w:tr>
        <w:tc>
          <w:tcPr/>
          <w:p>
            <w:pPr>
              <w:pStyle w:val="Compact"/>
            </w:pPr>
            <w:r>
              <w:t xml:space="preserve">No 3 or more-point rise, any termination type</w:t>
            </w:r>
          </w:p>
        </w:tc>
        <w:tc>
          <w:tcPr/>
          <w:p>
            <w:pPr>
              <w:pStyle w:val="Compact"/>
            </w:pPr>
            <w:r>
              <w:t xml:space="preserve">No exercise-intolerance phenotype detected</w:t>
            </w:r>
          </w:p>
        </w:tc>
        <w:tc>
          <w:tcPr/>
          <w:p>
            <w:pPr>
              <w:pStyle w:val="Compact"/>
            </w:pPr>
            <w:r>
              <w:t xml:space="preserve">Interpretation</w:t>
            </w:r>
            <w:r>
              <w:t xml:space="preserve"> </w:t>
            </w:r>
            <w:r>
              <w:rPr>
                <w:i/>
                <w:iCs/>
              </w:rPr>
              <w:t xml:space="preserve">no-intolerance</w:t>
            </w:r>
            <w:r>
              <w:t xml:space="preserve">;</w:t>
            </w:r>
            <w:r>
              <w:t xml:space="preserve"> </w:t>
            </w:r>
            <w:r>
              <w:rPr>
                <w:b/>
                <w:bCs/>
              </w:rPr>
              <w:t xml:space="preserve">not gated on termination type</w:t>
            </w:r>
            <w:r>
              <w:t xml:space="preserve"> </w:t>
            </w:r>
            <w:r>
              <w:t xml:space="preserve">- clinician must review the stage table before drawing any conclusion</w:t>
            </w:r>
          </w:p>
        </w:tc>
      </w:tr>
      <w:tr>
        <w:tc>
          <w:tcPr/>
          <w:p>
            <w:pPr>
              <w:pStyle w:val="Compact"/>
            </w:pPr>
            <w:r>
              <w:t xml:space="preserve">No-intolerance on a re-test</w:t>
            </w:r>
          </w:p>
        </w:tc>
        <w:tc>
          <w:tcPr/>
          <w:p>
            <w:pPr>
              <w:pStyle w:val="Compact"/>
            </w:pPr>
            <w:r>
              <w:t xml:space="preserve">Possible recovered tolerance</w:t>
            </w:r>
          </w:p>
        </w:tc>
        <w:tc>
          <w:tcPr/>
          <w:p>
            <w:pPr>
              <w:pStyle w:val="Compact"/>
            </w:pPr>
            <w:r>
              <w:t xml:space="preserve">Raise clearance-</w:t>
            </w:r>
            <w:r>
              <w:rPr>
                <w:b/>
                <w:bCs/>
              </w:rPr>
              <w:t xml:space="preserve">review</w:t>
            </w:r>
            <w:r>
              <w:t xml:space="preserve"> </w:t>
            </w:r>
            <w:r>
              <w:t xml:space="preserve">flag for the clinician; not a clearance</w:t>
            </w:r>
          </w:p>
        </w:tc>
      </w:tr>
      <w:tr>
        <w:tc>
          <w:tcPr/>
          <w:p>
            <w:pPr>
              <w:pStyle w:val="Compact"/>
            </w:pPr>
            <w:r>
              <w:t xml:space="preserve">HRt &lt;135 bpm</w:t>
            </w:r>
          </w:p>
        </w:tc>
        <w:tc>
          <w:tcPr/>
          <w:p>
            <w:pPr>
              <w:pStyle w:val="Compact"/>
            </w:pPr>
            <w:r>
              <w:t xml:space="preserve">Prognostic flag (recorded; never a dose input)</w:t>
            </w:r>
          </w:p>
        </w:tc>
        <w:tc>
          <w:tcPr/>
          <w:p>
            <w:pPr>
              <w:pStyle w:val="Compact"/>
            </w:pPr>
            <w:r>
              <w:t xml:space="preserve">Surface prolonged-recovery signal to the clinician</w:t>
            </w:r>
          </w:p>
        </w:tc>
      </w:tr>
      <w:tr>
        <w:tc>
          <w:tcPr/>
          <w:p>
            <w:pPr>
              <w:pStyle w:val="Compact"/>
            </w:pPr>
            <w:r>
              <w:t xml:space="preserve">Symptom rise 2 or more points during a home session</w:t>
            </w:r>
          </w:p>
        </w:tc>
        <w:tc>
          <w:tcPr/>
          <w:p>
            <w:pPr>
              <w:pStyle w:val="Compact"/>
            </w:pPr>
            <w:r>
              <w:t xml:space="preserve">Within-session</w:t>
            </w:r>
            <w:r>
              <w:t xml:space="preserve"> </w:t>
            </w:r>
            <w:r>
              <w:rPr>
                <w:b/>
                <w:bCs/>
              </w:rPr>
              <w:t xml:space="preserve">training</w:t>
            </w:r>
            <w:r>
              <w:t xml:space="preserve"> </w:t>
            </w:r>
            <w:r>
              <w:t xml:space="preserve">stop rule</w:t>
            </w:r>
          </w:p>
        </w:tc>
        <w:tc>
          <w:tcPr/>
          <w:p>
            <w:pPr>
              <w:pStyle w:val="Compact"/>
            </w:pPr>
            <w:r>
              <w:t xml:space="preserve">Stop session; log as flare</w:t>
            </w:r>
          </w:p>
        </w:tc>
      </w:tr>
      <w:tr>
        <w:tc>
          <w:tcPr/>
          <w:p>
            <w:pPr>
              <w:pStyle w:val="Compact"/>
            </w:pPr>
            <w:r>
              <w:t xml:space="preserve">Two consecutive flaring sessions</w:t>
            </w:r>
          </w:p>
        </w:tc>
        <w:tc>
          <w:tcPr/>
          <w:p>
            <w:pPr>
              <w:pStyle w:val="Compact"/>
            </w:pPr>
            <w:r>
              <w:t xml:space="preserve">Design decision, not a trial rule</w:t>
            </w:r>
          </w:p>
        </w:tc>
        <w:tc>
          <w:tcPr/>
          <w:p>
            <w:pPr>
              <w:pStyle w:val="Compact"/>
            </w:pPr>
            <w:r>
              <w:t xml:space="preserve">Rest day; ceiling -5 bpm (floored at band lower bound); clinician check-in</w:t>
            </w:r>
          </w:p>
        </w:tc>
      </w:tr>
      <w:tr>
        <w:tc>
          <w:tcPr/>
          <w:p>
            <w:pPr>
              <w:pStyle w:val="Compact"/>
            </w:pPr>
            <w:r>
              <w:t xml:space="preserve">2 or more flares in the last three sessions</w:t>
            </w:r>
          </w:p>
        </w:tc>
        <w:tc>
          <w:tcPr/>
          <w:p>
            <w:pPr>
              <w:pStyle w:val="Compact"/>
            </w:pPr>
            <w:r>
              <w:t xml:space="preserve">Reduce, don’t rest</w:t>
            </w:r>
          </w:p>
        </w:tc>
        <w:tc>
          <w:tcPr/>
          <w:p>
            <w:pPr>
              <w:pStyle w:val="Compact"/>
            </w:pPr>
            <w:r>
              <w:t xml:space="preserve">Ceiling -5 bpm; continue daily at reduced intensity</w:t>
            </w:r>
          </w:p>
        </w:tc>
      </w:tr>
      <w:tr>
        <w:tc>
          <w:tcPr/>
          <w:p>
            <w:pPr>
              <w:pStyle w:val="Compact"/>
            </w:pPr>
            <w:r>
              <w:t xml:space="preserve">One recent flare</w:t>
            </w:r>
          </w:p>
        </w:tc>
        <w:tc>
          <w:tcPr/>
          <w:p>
            <w:pPr>
              <w:pStyle w:val="Compact"/>
            </w:pPr>
            <w:r>
              <w:t xml:space="preserve">Insufficient evidence to escalate</w:t>
            </w:r>
          </w:p>
        </w:tc>
        <w:tc>
          <w:tcPr/>
          <w:p>
            <w:pPr>
              <w:pStyle w:val="Compact"/>
            </w:pPr>
            <w:r>
              <w:t xml:space="preserve">Hold the band</w:t>
            </w:r>
          </w:p>
        </w:tc>
      </w:tr>
      <w:tr>
        <w:tc>
          <w:tcPr/>
          <w:p>
            <w:pPr>
              <w:pStyle w:val="Compact"/>
            </w:pPr>
            <w:r>
              <w:t xml:space="preserve">Three consecutive</w:t>
            </w:r>
            <w:r>
              <w:t xml:space="preserve"> </w:t>
            </w:r>
            <w:r>
              <w:rPr>
                <w:b/>
                <w:bCs/>
              </w:rPr>
              <w:t xml:space="preserve">verified</w:t>
            </w:r>
            <w:r>
              <w:t xml:space="preserve"> </w:t>
            </w:r>
            <w:r>
              <w:t xml:space="preserve">clean sessions, each at least 80% of prescribed minutes</w:t>
            </w:r>
          </w:p>
        </w:tc>
        <w:tc>
          <w:tcPr/>
          <w:p>
            <w:pPr>
              <w:pStyle w:val="Compact"/>
            </w:pPr>
            <w:r>
              <w:t xml:space="preserve">Tolerance improving, on verified evidence only</w:t>
            </w:r>
          </w:p>
        </w:tc>
        <w:tc>
          <w:tcPr/>
          <w:p>
            <w:pPr>
              <w:pStyle w:val="Compact"/>
            </w:pPr>
            <w:r>
              <w:t xml:space="preserve">Advance ceiling +5 bpm, capped at the measured HRt</w:t>
            </w:r>
          </w:p>
        </w:tc>
      </w:tr>
      <w:tr>
        <w:tc>
          <w:tcPr/>
          <w:p>
            <w:pPr>
              <w:pStyle w:val="Compact"/>
            </w:pPr>
            <w:r>
              <w:t xml:space="preserve">Ceiling has reached the measured HRt</w:t>
            </w:r>
          </w:p>
        </w:tc>
        <w:tc>
          <w:tcPr/>
          <w:p>
            <w:pPr>
              <w:pStyle w:val="Compact"/>
            </w:pPr>
            <w:r>
              <w:t xml:space="preserve">Ceiling cap</w:t>
            </w:r>
          </w:p>
        </w:tc>
        <w:tc>
          <w:tcPr/>
          <w:p>
            <w:pPr>
              <w:pStyle w:val="Compact"/>
            </w:pPr>
            <w:r>
              <w:t xml:space="preserve">Propose re-test; never advance past the measurement</w:t>
            </w:r>
          </w:p>
        </w:tc>
      </w:tr>
    </w:tbl>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4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4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60"/>
    </w:pPr>
  </w:style>
  <w:style w:styleId="Title" w:type="paragraph">
    <w:name w:val="Title"/>
    <w:basedOn w:val="Normal"/>
    <w:next w:val="BodyText"/>
    <w:link w:val="TitleChar"/>
    <w:uiPriority w:val="10"/>
    <w:qFormat/>
    <w:rsid w:val="00A10FD9"/>
    <w:pPr>
      <w:spacing w:after="40" w:line="20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40" w:before="60"/>
      <w:jc w:val="center"/>
    </w:pPr>
    <w:rPr>
      <w:b/>
      <w:sz w:val="20"/>
      <w:szCs w:val="20"/>
    </w:rPr>
  </w:style>
  <w:style w:customStyle="1" w:styleId="Abstract" w:type="paragraph">
    <w:name w:val="Abstract"/>
    <w:basedOn w:val="Normal"/>
    <w:next w:val="BodyText"/>
    <w:qFormat/>
    <w:pPr>
      <w:keepNext/>
      <w:keepLines/>
      <w:spacing w:after="40" w:before="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40" w:before="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40" w:before="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6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4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4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4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4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6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40" w:before="6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40"/>
    </w:pPr>
    <w:rPr>
      <w:b/>
    </w:rPr>
  </w:style>
  <w:style w:customStyle="1" w:styleId="Definition" w:type="paragraph">
    <w:name w:val="Definition"/>
    <w:basedOn w:val="Normal"/>
  </w:style>
  <w:style w:styleId="Caption" w:type="paragraph">
    <w:name w:val="Caption"/>
    <w:basedOn w:val="Normal"/>
    <w:link w:val="BodyTextChar"/>
    <w:pPr>
      <w:spacing w:after="40" w:before="6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60" w:line="20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9-0002-4267-0451"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2-4267-0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2026-07-20T04:59:43Z</dcterms:created>
  <dcterms:modified xsi:type="dcterms:W3CDTF">2026-07-20T04:59:43Z</dcterms:modified>
</cp:coreProperties>
</file>

<file path=docProps/custom.xml><?xml version="1.0" encoding="utf-8"?>
<Properties xmlns="http://schemas.openxmlformats.org/officeDocument/2006/custom-properties" xmlns:vt="http://schemas.openxmlformats.org/officeDocument/2006/docPropsVTypes"/>
</file>