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a5cd5602973855d8e0c87c2fcf965e7ddfea9ab"/>
    <w:p>
      <w:pPr>
        <w:pStyle w:val="Heading1"/>
      </w:pPr>
      <w:r>
        <w:t xml:space="preserve">A standardised, clinician-directed digital workflow for delivering sub-symptom-threshold aerobic exercise after concussion</w:t>
      </w:r>
    </w:p>
    <w:p>
      <w:pPr>
        <w:pStyle w:val="FirstParagraph"/>
      </w:pPr>
      <w:r>
        <w:rPr>
          <w:b/>
          <w:bCs/>
        </w:rPr>
        <w:t xml:space="preserve">Zac Lewis</w:t>
      </w:r>
      <w:r>
        <w:t xml:space="preserve">¹</w:t>
      </w:r>
    </w:p>
    <w:p>
      <w:pPr>
        <w:pStyle w:val="BodyText"/>
      </w:pPr>
      <w:r>
        <w:t xml:space="preserve">¹ Concussion Education Australia Pty Ltd, Australia. ORCID:</w:t>
      </w:r>
      <w:r>
        <w:t xml:space="preserve"> </w:t>
      </w:r>
      <w:hyperlink r:id="rId9">
        <w:r>
          <w:rPr>
            <w:rStyle w:val="Hyperlink"/>
          </w:rPr>
          <w:t xml:space="preserve">0009-0002-4267-0451</w:t>
        </w:r>
      </w:hyperlink>
    </w:p>
    <w:p>
      <w:pPr>
        <w:pStyle w:val="BodyText"/>
      </w:pPr>
      <w:r>
        <w:rPr>
          <w:b/>
          <w:bCs/>
        </w:rPr>
        <w:t xml:space="preserve">Corresponding author:</w:t>
      </w:r>
      <w:r>
        <w:t xml:space="preserve"> </w:t>
      </w:r>
      <w:r>
        <w:t xml:space="preserve">Zac Lewis, Concussion Education Australia Pty Ltd, Australia. Email: z.lew87@gmail.com</w:t>
      </w:r>
    </w:p>
    <w:p>
      <w:pPr>
        <w:pStyle w:val="BodyText"/>
      </w:pPr>
      <w:r>
        <w:rPr>
          <w:b/>
          <w:bCs/>
        </w:rPr>
        <w:t xml:space="preserve">Article type:</w:t>
      </w:r>
      <w:r>
        <w:t xml:space="preserve"> </w:t>
      </w:r>
      <w:r>
        <w:t xml:space="preserve">Protocol / delivery-framework paper (a described clinical workflow;</w:t>
      </w:r>
      <w:r>
        <w:t xml:space="preserve"> </w:t>
      </w:r>
      <w:r>
        <w:rPr>
          <w:i/>
          <w:iCs/>
        </w:rPr>
        <w:t xml:space="preserve">not</w:t>
      </w:r>
      <w:r>
        <w:t xml:space="preserve"> </w:t>
      </w:r>
      <w:r>
        <w:t xml:space="preserve">a trial protocol, and</w:t>
      </w:r>
      <w:r>
        <w:t xml:space="preserve"> </w:t>
      </w:r>
      <w:r>
        <w:rPr>
          <w:i/>
          <w:iCs/>
        </w:rPr>
        <w:t xml:space="preserve">not</w:t>
      </w:r>
      <w:r>
        <w:t xml:space="preserve"> </w:t>
      </w:r>
      <w:r>
        <w:t xml:space="preserve">an effectiveness study)</w:t>
      </w:r>
    </w:p>
    <w:p>
      <w:pPr>
        <w:pStyle w:val="BodyText"/>
      </w:pPr>
      <w:r>
        <w:rPr>
          <w:b/>
          <w:bCs/>
        </w:rPr>
        <w:t xml:space="preserve">Target venue:</w:t>
      </w:r>
      <w:r>
        <w:t xml:space="preserve"> </w:t>
      </w:r>
      <w:r>
        <w:rPr>
          <w:i/>
          <w:iCs/>
        </w:rPr>
        <w:t xml:space="preserve">JMIR Research Protocols</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 exercise physiology; clinical workflow; return to sport; return to learn</w:t>
      </w:r>
    </w:p>
    <w:p>
      <w:pPr>
        <w:pStyle w:val="BodyText"/>
      </w:pPr>
      <w:r>
        <w:rPr>
          <w:b/>
          <w:bCs/>
        </w:rPr>
        <w:t xml:space="preserve">Version note.</w:t>
      </w:r>
      <w:r>
        <w:t xml:space="preserve"> </w:t>
      </w:r>
      <w:r>
        <w:t xml:space="preserve">This manuscript supersedes an earlier draft of the same workflow, including a version previously deposited to protocols.io. The earlier version described procedural detail that the reference implementation does not perform. Every operational statement in this version has been checked line-by-line against the implementing source code, and the corrections are enumerated in the appendix,</w:t>
      </w:r>
      <w:r>
        <w:t xml:space="preserve"> </w:t>
      </w:r>
      <w:r>
        <w:t xml:space="preserve">“Changes from the prior draft.”</w:t>
      </w:r>
      <w:r>
        <w:t xml:space="preserve"> </w:t>
      </w:r>
      <w:r>
        <w:t xml:space="preserve">Where the implementation departs from the published Buffalo procedure, that departure is stated as a departure rather than smoothed over.</w:t>
      </w:r>
    </w:p>
    <w:p>
      <w:r>
        <w:pict>
          <v:rect style="width:0;height:1.5pt" o:hralign="center" o:hrstd="t" o:hr="t"/>
        </w:pict>
      </w:r>
    </w:p>
    <w:bookmarkStart w:id="10" w:name="design-principles"/>
    <w:p>
      <w:pPr>
        <w:pStyle w:val="Heading2"/>
      </w:pPr>
      <w:r>
        <w:t xml:space="preserve">2. Design principles</w:t>
      </w:r>
    </w:p>
    <w:p>
      <w:pPr>
        <w:pStyle w:val="FirstParagraph"/>
      </w:pPr>
      <w:r>
        <w:rPr>
          <w:b/>
          <w:bCs/>
        </w:rPr>
        <w:t xml:space="preserve">2.1 Clinician-directed, not consumer self-managed.</w:t>
      </w:r>
      <w:r>
        <w:t xml:space="preserve"> </w:t>
      </w:r>
      <w:r>
        <w:t xml:space="preserve">A registered clinician confirms that the patient is appropriate for graded exercise rehabilitation, enables and oversees the threshold test, interprets it, owns the prescription, reviews each progression, and makes every clearance and return-to-activity decision. The software executes, paces, monitors, and records. It informs; it does not decide.</w:t>
      </w:r>
    </w:p>
    <w:p>
      <w:pPr>
        <w:pStyle w:val="BodyText"/>
      </w:pPr>
      <w:r>
        <w:t xml:space="preserve">The supervision model is clinician-</w:t>
      </w:r>
      <w:r>
        <w:rPr>
          <w:i/>
          <w:iCs/>
        </w:rPr>
        <w:t xml:space="preserve">directed</w:t>
      </w:r>
      <w:r>
        <w:t xml:space="preserve">, not clinician-</w:t>
      </w:r>
      <w:r>
        <w:rPr>
          <w:i/>
          <w:iCs/>
        </w:rPr>
        <w:t xml:space="preserve">present</w:t>
      </w:r>
      <w:r>
        <w:t xml:space="preserve">. As in all between-visit rehabilitation, the clinician exercises judgement at the point of direction - assessing appropriateness and instructing the programme - after which the patient implements it at home, unsupervised, and the clinician reviews at the next contact. The software’s encoded stop rules (the symptom-provocation threshold, the within-session symptom-rise stop, and the red-flag halt-and-refer path) are guardrails that operate in the clinician’s absence. They do not replace the clinician’s appropriateness decision; they execute the limits the clinician directed.</w:t>
      </w:r>
    </w:p>
    <w:p>
      <w:pPr>
        <w:pStyle w:val="BodyText"/>
      </w:pPr>
      <w:r>
        <w:rPr>
          <w:b/>
          <w:bCs/>
        </w:rPr>
        <w:t xml:space="preserve">2.2 The intended primary user is a registered exercise physiologist, and the graded test is a rehabilitation baseline measure.</w:t>
      </w:r>
      <w:r>
        <w:t xml:space="preserve"> </w:t>
      </w:r>
      <w:r>
        <w:t xml:space="preserve">The framework assumes an ESSA-accredited exercise physiologist (or equivalently scoped clinician) working from a diagnosis already made by a general practitioner or sports physician, and from an existing clearance for exercise rehabilitation. In that context the graded test is</w:t>
      </w:r>
      <w:r>
        <w:t xml:space="preserve"> </w:t>
      </w:r>
      <w:r>
        <w:rPr>
          <w:i/>
          <w:iCs/>
        </w:rPr>
        <w:t xml:space="preserve">not</w:t>
      </w:r>
      <w:r>
        <w:t xml:space="preserve"> </w:t>
      </w:r>
      <w:r>
        <w:t xml:space="preserve">a diagnostic provocative test - the diagnostic question has already been answered - but a rehabilitation baseline measure answering a different question: at what intensity can this already-diagnosed, exercise-cleared patient safely train</w:t>
      </w:r>
      <w:r>
        <w:t xml:space="preserve"> </w:t>
      </w:r>
      <w:r>
        <w:rPr>
          <w:i/>
          <w:iCs/>
        </w:rPr>
        <w:t xml:space="preserve">now</w:t>
      </w:r>
      <w:r>
        <w:t xml:space="preserve">? Same physical procedure; different clinical meaning and scope context. This framing is load-bearing for §7’s regulatory positioning, and it is the accurate description of the intended workflow rather than a regulatory dress-up. The honest bound survives the reframe: the physical provocation is identical regardless of who supervises it and why, so the safety consideration does not disappear. What the framing settles is</w:t>
      </w:r>
      <w:r>
        <w:t xml:space="preserve"> </w:t>
      </w:r>
      <w:r>
        <w:rPr>
          <w:i/>
          <w:iCs/>
        </w:rPr>
        <w:t xml:space="preserve">who holds the clinical judgement about appropriateness</w:t>
      </w:r>
      <w:r>
        <w:t xml:space="preserve"> </w:t>
      </w:r>
      <w:r>
        <w:t xml:space="preserve">- clearly the clinician, not the software.</w:t>
      </w:r>
    </w:p>
    <w:p>
      <w:pPr>
        <w:pStyle w:val="BodyText"/>
      </w:pPr>
      <w:r>
        <w:rPr>
          <w:b/>
          <w:bCs/>
        </w:rPr>
        <w:t xml:space="preserve">2.3 Heart-rate-anchored and individualised on a measured threshold.</w:t>
      </w:r>
      <w:r>
        <w:t xml:space="preserve"> </w:t>
      </w:r>
      <w:r>
        <w:t xml:space="preserve">Every dose is derived from the patient’s own HRt, not from an age-predicted formula. Where graded testing is unavailable, a published standardised programme exists and may seed the band conservatively [10]. The percentage-of-HRt band is the only individualisation the evidence supports (§7).</w:t>
      </w:r>
    </w:p>
    <w:p>
      <w:pPr>
        <w:pStyle w:val="BodyText"/>
      </w:pPr>
      <w:r>
        <w:rPr>
          <w:b/>
          <w:bCs/>
        </w:rPr>
        <w:t xml:space="preserve">2.4 Real signal or no signal, and only verified signal advances the dose.</w:t>
      </w:r>
      <w:r>
        <w:t xml:space="preserve"> </w:t>
      </w:r>
      <w:r>
        <w:t xml:space="preserve">Heart rate is displayed only when actually measured. Bluetooth Low Energy heart-rate packets are range- and length-checked before use. Camera photoplethysmography returns</w:t>
      </w:r>
      <w:r>
        <w:t xml:space="preserve"> </w:t>
      </w:r>
      <w:r>
        <w:rPr>
          <w:i/>
          <w:iCs/>
        </w:rPr>
        <w:t xml:space="preserve">no value</w:t>
      </w:r>
      <w:r>
        <w:t xml:space="preserve"> </w:t>
      </w:r>
      <w:r>
        <w:t xml:space="preserve">rather than a guess when its periodicity confidence falls below threshold, and is restricted to a resting spot-check: it is excluded from every exertion screen because motion artefact makes it unreliable during exercise. Loss of signal clears the on-screen value rather than holding the last-known number. Progression is stricter still: only a session sourced from a live Bluetooth stream, with at least 80% of its readings matching a fresh live feed at the moment of logging, may raise the ceiling. Manual entry can never be verified.</w:t>
      </w:r>
    </w:p>
    <w:p>
      <w:pPr>
        <w:pStyle w:val="BodyText"/>
      </w:pPr>
      <w:r>
        <w:rPr>
          <w:b/>
          <w:bCs/>
        </w:rPr>
        <w:t xml:space="preserve">2.5 Safety logic travels with the patient.</w:t>
      </w:r>
      <w:r>
        <w:t xml:space="preserve"> </w:t>
      </w:r>
      <w:r>
        <w:t xml:space="preserve">The within-session symptom-stop rule and the red-flag halt-and-refer path are encoded in the tool rather than left to recalled verbal instruction.</w:t>
      </w:r>
    </w:p>
    <w:p>
      <w:pPr>
        <w:pStyle w:val="BodyText"/>
      </w:pPr>
      <w:r>
        <w:rPr>
          <w:b/>
          <w:bCs/>
        </w:rPr>
        <w:t xml:space="preserve">2.6 Reduce, don’t rest - with one declared departure.</w:t>
      </w:r>
      <w:r>
        <w:t xml:space="preserve"> </w:t>
      </w:r>
      <w:r>
        <w:t xml:space="preserve">After a single symptom flare, the response is to continue daily sub-threshold exercise at</w:t>
      </w:r>
      <w:r>
        <w:t xml:space="preserve"> </w:t>
      </w:r>
      <w:r>
        <w:rPr>
          <w:i/>
          <w:iCs/>
        </w:rPr>
        <w:t xml:space="preserve">reduced</w:t>
      </w:r>
      <w:r>
        <w:t xml:space="preserve"> </w:t>
      </w:r>
      <w:r>
        <w:t xml:space="preserve">intensity, not to prescribe a rest day; the only prohibition is sustained supra-threshold exercise [11]. The framework departs from this in one specific circumstance - two consecutive flaring sessions - and labels that departure as a design decision rather than an evidence-derived rule (§3, Stage 4; §7).</w:t>
      </w:r>
    </w:p>
    <w:p>
      <w:pPr>
        <w:pStyle w:val="BodyText"/>
      </w:pPr>
      <w:r>
        <w:rPr>
          <w:b/>
          <w:bCs/>
        </w:rPr>
        <w:t xml:space="preserve">2.7 Active rehabilitation, not pacing.</w:t>
      </w:r>
      <w:r>
        <w:t xml:space="preserve"> </w:t>
      </w:r>
      <w:r>
        <w:t xml:space="preserve">The band is a training target to be progressively raised, not an exertion alarm (§6).</w:t>
      </w:r>
    </w:p>
    <w:p>
      <w:r>
        <w:pict>
          <v:rect style="width:0;height:1.5pt" o:hralign="center" o:hrstd="t" o:hr="t"/>
        </w:pict>
      </w:r>
    </w:p>
    <w:bookmarkEnd w:id="10"/>
    <w:bookmarkStart w:id="16" w:name="the-five-stage-workflow"/>
    <w:p>
      <w:pPr>
        <w:pStyle w:val="Heading2"/>
      </w:pPr>
      <w:r>
        <w:t xml:space="preserve">3. The five-stage workflow</w:t>
      </w:r>
    </w:p>
    <w:bookmarkStart w:id="11" w:name="stage-1---baseline-and-safety-screen"/>
    <w:p>
      <w:pPr>
        <w:pStyle w:val="Heading3"/>
      </w:pPr>
      <w:r>
        <w:t xml:space="preserve">Stage 1 - Baseline and safety screen</w:t>
      </w:r>
    </w:p>
    <w:p>
      <w:pPr>
        <w:pStyle w:val="Compact"/>
        <w:numPr>
          <w:ilvl w:val="0"/>
          <w:numId w:val="1001"/>
        </w:numPr>
      </w:pPr>
      <w:r>
        <w:rPr>
          <w:b/>
          <w:bCs/>
        </w:rPr>
        <w:t xml:space="preserve">Symptom profile.</w:t>
      </w:r>
      <w:r>
        <w:t xml:space="preserve"> </w:t>
      </w:r>
      <w:r>
        <w:t xml:space="preserve">The patient selects, from the standard post-concussion symptom inventory, the symptoms they actually experience, so that subsequent per-minute prompts ask only about relevant symptoms.</w:t>
      </w:r>
    </w:p>
    <w:p>
      <w:pPr>
        <w:pStyle w:val="Compact"/>
        <w:numPr>
          <w:ilvl w:val="0"/>
          <w:numId w:val="1001"/>
        </w:numPr>
      </w:pPr>
      <w:r>
        <w:rPr>
          <w:b/>
          <w:bCs/>
        </w:rPr>
        <w:t xml:space="preserve">Red-flag gate.</w:t>
      </w:r>
      <w:r>
        <w:t xml:space="preserve"> </w:t>
      </w:r>
      <w:r>
        <w:t xml:space="preserve">Before any exertion, the patient is screened against the emergency red-flag list (severe or worsening headache, repeated vomiting, seizure, focal weakness or numbness, slurred speech, increasing confusion or drowsiness, loss of consciousness). Any positive blocks the test and routes to urgent medical review. A red-flag termination additionally sets a lock that blocks all further testing until a clinician has reviewed the patient and cleared them to resume.</w:t>
      </w:r>
    </w:p>
    <w:p>
      <w:pPr>
        <w:pStyle w:val="Compact"/>
        <w:numPr>
          <w:ilvl w:val="0"/>
          <w:numId w:val="1001"/>
        </w:numPr>
      </w:pPr>
      <w:r>
        <w:rPr>
          <w:b/>
          <w:bCs/>
        </w:rPr>
        <w:t xml:space="preserve">Resting-symptom gate.</w:t>
      </w:r>
      <w:r>
        <w:t xml:space="preserve"> </w:t>
      </w:r>
      <w:r>
        <w:t xml:space="preserve">A 0-10 resting symptom score is captured immediately pre-test. It is the reference value for the provocation criterion. A resting score of</w:t>
      </w:r>
      <w:r>
        <w:t xml:space="preserve"> </w:t>
      </w:r>
      <w:r>
        <w:rPr>
          <w:b/>
          <w:bCs/>
        </w:rPr>
        <w:t xml:space="preserve">8 or above blocks testing entirely</w:t>
      </w:r>
      <w:r>
        <w:t xml:space="preserve"> </w:t>
      </w:r>
      <w:r>
        <w:t xml:space="preserve">- today is not a test day.</w:t>
      </w:r>
    </w:p>
    <w:p>
      <w:pPr>
        <w:pStyle w:val="Compact"/>
        <w:numPr>
          <w:ilvl w:val="0"/>
          <w:numId w:val="1001"/>
        </w:numPr>
      </w:pPr>
      <w:r>
        <w:rPr>
          <w:b/>
          <w:bCs/>
        </w:rPr>
        <w:t xml:space="preserve">Heart-rate source pairing.</w:t>
      </w:r>
      <w:r>
        <w:t xml:space="preserve"> </w:t>
      </w:r>
      <w:r>
        <w:t xml:space="preserve">The patient pairs a Bluetooth wearable (the only source that can support verified progression), or the clinician selects manual entry. Camera photoplethysmography is available as a resting spot-check only and is not offered on any exertion screen.</w:t>
      </w:r>
    </w:p>
    <w:p>
      <w:pPr>
        <w:pStyle w:val="Compact"/>
        <w:numPr>
          <w:ilvl w:val="0"/>
          <w:numId w:val="1001"/>
        </w:numPr>
      </w:pPr>
      <w:r>
        <w:rPr>
          <w:b/>
          <w:bCs/>
        </w:rPr>
        <w:t xml:space="preserve">Re-test spacing.</w:t>
      </w:r>
      <w:r>
        <w:t xml:space="preserve"> </w:t>
      </w:r>
      <w:r>
        <w:t xml:space="preserve">Where this is not a first test, the spacing gate applies: at most one graded test per calendar day, with no exceptions, and a minimum of</w:t>
      </w:r>
      <w:r>
        <w:t xml:space="preserve"> </w:t>
      </w:r>
      <w:r>
        <w:rPr>
          <w:b/>
          <w:bCs/>
        </w:rPr>
        <w:t xml:space="preserve">48 hours</w:t>
      </w:r>
      <w:r>
        <w:t xml:space="preserve"> </w:t>
      </w:r>
      <w:r>
        <w:t xml:space="preserve">between tests unless the clinician directs otherwise or the patient’s band was just regressed.</w:t>
      </w:r>
    </w:p>
    <w:p>
      <w:pPr>
        <w:pStyle w:val="FirstParagraph"/>
      </w:pPr>
      <w:r>
        <w:rPr>
          <w:i/>
          <w:iCs/>
        </w:rPr>
        <w:t xml:space="preserve">Role:</w:t>
      </w:r>
      <w:r>
        <w:t xml:space="preserve"> </w:t>
      </w:r>
      <w:r>
        <w:t xml:space="preserve">clinician confirms appropriateness and enables the test; patient executes.</w:t>
      </w:r>
      <w:r>
        <w:t xml:space="preserve"> </w:t>
      </w:r>
      <w:r>
        <w:rPr>
          <w:i/>
          <w:iCs/>
        </w:rPr>
        <w:t xml:space="preserve">Stopping criterion:</w:t>
      </w:r>
      <w:r>
        <w:t xml:space="preserve"> </w:t>
      </w:r>
      <w:r>
        <w:t xml:space="preserve">any red flag, or a resting symptom score at least 8 then exit; no test.</w:t>
      </w:r>
    </w:p>
    <w:bookmarkEnd w:id="11"/>
    <w:bookmarkStart w:id="12" w:name="X3a9f555de84452f5b94877868e017eba3c64ff4"/>
    <w:p>
      <w:pPr>
        <w:pStyle w:val="Heading3"/>
      </w:pPr>
      <w:r>
        <w:t xml:space="preserve">Stage 2 - Graded ramp to a measured heart-rate threshold</w:t>
      </w:r>
    </w:p>
    <w:p>
      <w:pPr>
        <w:pStyle w:val="FirstParagraph"/>
      </w:pPr>
      <w:r>
        <w:rPr>
          <w:b/>
          <w:bCs/>
        </w:rPr>
        <w:t xml:space="preserve">What is implemented, stated precisely.</w:t>
      </w:r>
      <w:r>
        <w:t xml:space="preserve"> </w:t>
      </w:r>
      <w:r>
        <w:t xml:space="preserve">The test is an</w:t>
      </w:r>
      <w:r>
        <w:t xml:space="preserve"> </w:t>
      </w:r>
      <w:r>
        <w:rPr>
          <w:b/>
          <w:bCs/>
        </w:rPr>
        <w:t xml:space="preserve">operator-executed graded ramp with standardised per-minute step-up prompts, modelled on the ordinal structure of the Buffalo Concussion Treadmill Test</w:t>
      </w:r>
      <w:r>
        <w:t xml:space="preserve"> </w:t>
      </w:r>
      <w:r>
        <w:t xml:space="preserve">[3]. Stages are one minute long (60 seconds, fixed in production), to a maximum of 20 stages. At each stage boundary the tool issues a standardised instruction to increase the workload by one increment - in the reference implementation,</w:t>
      </w:r>
      <w:r>
        <w:t xml:space="preserve"> </w:t>
      </w:r>
      <w:r>
        <w:t xml:space="preserve">“increase the incline one notch”</w:t>
      </w:r>
      <w:r>
        <w:t xml:space="preserve"> </w:t>
      </w:r>
      <w:r>
        <w:t xml:space="preserve">for the first fifteen minutes, and thereafter an instruction to hold the incline and increase speed instead. The ordinal shape of the Buffalo ramp is therefore preserved.</w:t>
      </w:r>
    </w:p>
    <w:p>
      <w:pPr>
        <w:pStyle w:val="BodyText"/>
      </w:pPr>
      <w:r>
        <w:rPr>
          <w:b/>
          <w:bCs/>
        </w:rPr>
        <w:t xml:space="preserve">Two properties of this must be stated plainly rather than implied.</w:t>
      </w:r>
      <w:r>
        <w:t xml:space="preserve"> </w:t>
      </w:r>
      <w:r>
        <w:t xml:space="preserve">First,</w:t>
      </w:r>
      <w:r>
        <w:t xml:space="preserve"> </w:t>
      </w:r>
      <w:r>
        <w:rPr>
          <w:b/>
          <w:bCs/>
        </w:rPr>
        <w:t xml:space="preserve">the Balke ramp is not implemented as a quantified protocol</w:t>
      </w:r>
      <w:r>
        <w:t xml:space="preserve">. No speed, gradient, or power value is set, verified, or recorded anywhere in the workflow. The workload is executed by the patient on whatever equipment they are using, and the magnitude of</w:t>
      </w:r>
      <w:r>
        <w:t xml:space="preserve"> </w:t>
      </w:r>
      <w:r>
        <w:t xml:space="preserve">“one notch”</w:t>
      </w:r>
      <w:r>
        <w:t xml:space="preserve"> </w:t>
      </w:r>
      <w:r>
        <w:t xml:space="preserve">is not standardised across patients or across sessions. The workload is therefore</w:t>
      </w:r>
      <w:r>
        <w:t xml:space="preserve"> </w:t>
      </w:r>
      <w:r>
        <w:rPr>
          <w:b/>
          <w:bCs/>
        </w:rPr>
        <w:t xml:space="preserve">unquantified and unrecorded</w:t>
      </w:r>
      <w:r>
        <w:t xml:space="preserve">; the only recorded exposure variables are elapsed minutes and the physiological and symptom response. Second, the</w:t>
      </w:r>
      <w:r>
        <w:t xml:space="preserve"> </w:t>
      </w:r>
      <w:r>
        <w:rPr>
          <w:b/>
          <w:bCs/>
        </w:rPr>
        <w:t xml:space="preserve">exercise modality</w:t>
      </w:r>
      <w:r>
        <w:t xml:space="preserve"> </w:t>
      </w:r>
      <w:r>
        <w:t xml:space="preserve">(treadmill, bike, walk, or other) is recorded as metadata for the clinician and is</w:t>
      </w:r>
      <w:r>
        <w:t xml:space="preserve"> </w:t>
      </w:r>
      <w:r>
        <w:rPr>
          <w:i/>
          <w:iCs/>
        </w:rPr>
        <w:t xml:space="preserve">not</w:t>
      </w:r>
      <w:r>
        <w:t xml:space="preserve"> </w:t>
      </w:r>
      <w:r>
        <w:t xml:space="preserve">read by the threshold-detection logic; the same detection rule applies regardless of modality.</w:t>
      </w:r>
    </w:p>
    <w:p>
      <w:pPr>
        <w:pStyle w:val="BodyText"/>
      </w:pPr>
      <w:r>
        <w:rPr>
          <w:b/>
          <w:bCs/>
        </w:rPr>
        <w:t xml:space="preserve">What is recorded each minute.</w:t>
      </w:r>
      <w:r>
        <w:t xml:space="preserve"> </w:t>
      </w:r>
      <w:r>
        <w:t xml:space="preserve">Heart rate at the end of the stage, a 0-10 overall symptom severity score, and the specific symptoms the patient tapped from their pre-selected list. Rate of perceived exertion is</w:t>
      </w:r>
      <w:r>
        <w:t xml:space="preserve"> </w:t>
      </w:r>
      <w:r>
        <w:rPr>
          <w:b/>
          <w:bCs/>
        </w:rPr>
        <w:t xml:space="preserve">not</w:t>
      </w:r>
      <w:r>
        <w:t xml:space="preserve"> </w:t>
      </w:r>
      <w:r>
        <w:t xml:space="preserve">recorded per minute. Instead, an</w:t>
      </w:r>
      <w:r>
        <w:t xml:space="preserve"> </w:t>
      </w:r>
      <w:r>
        <w:rPr>
          <w:b/>
          <w:bCs/>
        </w:rPr>
        <w:t xml:space="preserve">exhaustion marker</w:t>
      </w:r>
      <w:r>
        <w:t xml:space="preserve"> </w:t>
      </w:r>
      <w:r>
        <w:t xml:space="preserve">is captured as a single end-of-test determination: the patient may declare that they have reached their limit, which stamps the test as exhaustion-limited (an RPE 17 equivalent on the Borg 6-20 scale [3]) and logs the current stage as final. This is a deliberate simplification of the clinic procedure and a departure from it; it means the workflow carries no per-minute perceived-exertion curve.</w:t>
      </w:r>
    </w:p>
    <w:p>
      <w:pPr>
        <w:pStyle w:val="BodyText"/>
      </w:pPr>
      <w:r>
        <w:rPr>
          <w:b/>
          <w:bCs/>
        </w:rPr>
        <w:t xml:space="preserve">Threshold definition.</w:t>
      </w:r>
      <w:r>
        <w:t xml:space="preserve"> </w:t>
      </w:r>
      <w:r>
        <w:t xml:space="preserve">HRt is the heart rate recorded at the</w:t>
      </w:r>
      <w:r>
        <w:t xml:space="preserve"> </w:t>
      </w:r>
      <w:r>
        <w:rPr>
          <w:b/>
          <w:bCs/>
        </w:rPr>
        <w:t xml:space="preserve">first stage at which the symptom score rises 3 or more points above the resting baseline</w:t>
      </w:r>
      <w:r>
        <w:t xml:space="preserve"> </w:t>
      </w:r>
      <w:r>
        <w:t xml:space="preserve">- the validated diagnostic provocation criterion [3]. Note the deliberate distinction from the 2 or more-point within-session</w:t>
      </w:r>
      <w:r>
        <w:t xml:space="preserve"> </w:t>
      </w:r>
      <w:r>
        <w:rPr>
          <w:i/>
          <w:iCs/>
        </w:rPr>
        <w:t xml:space="preserve">training</w:t>
      </w:r>
      <w:r>
        <w:t xml:space="preserve"> </w:t>
      </w:r>
      <w:r>
        <w:t xml:space="preserve">stop rule of Stages 3 and 4: the two thresholds are different numbers serving different purposes and must not be conflated.</w:t>
      </w:r>
    </w:p>
    <w:p>
      <w:pPr>
        <w:pStyle w:val="BodyText"/>
      </w:pPr>
      <w:r>
        <w:rPr>
          <w:b/>
          <w:bCs/>
        </w:rPr>
        <w:t xml:space="preserve">Interpretation, and its limits.</w:t>
      </w:r>
      <w:r>
        <w:t xml:space="preserve"> </w:t>
      </w:r>
      <w:r>
        <w:t xml:space="preserve">Three interpretations are produced:</w:t>
      </w:r>
    </w:p>
    <w:p>
      <w:pPr>
        <w:pStyle w:val="Compact"/>
        <w:numPr>
          <w:ilvl w:val="0"/>
          <w:numId w:val="1002"/>
        </w:numPr>
      </w:pPr>
      <w:r>
        <w:rPr>
          <w:b/>
          <w:bCs/>
        </w:rPr>
        <w:t xml:space="preserve">Physiologic</w:t>
      </w:r>
      <w:r>
        <w:t xml:space="preserve"> </w:t>
      </w:r>
      <w:r>
        <w:t xml:space="preserve">- a 3 or more-point rise occurred; HRt is obtained; proceed to prescription.</w:t>
      </w:r>
    </w:p>
    <w:p>
      <w:pPr>
        <w:pStyle w:val="Compact"/>
        <w:numPr>
          <w:ilvl w:val="0"/>
          <w:numId w:val="1002"/>
        </w:numPr>
      </w:pPr>
      <w:r>
        <w:rPr>
          <w:b/>
          <w:bCs/>
        </w:rPr>
        <w:t xml:space="preserve">Red flag</w:t>
      </w:r>
      <w:r>
        <w:t xml:space="preserve"> </w:t>
      </w:r>
      <w:r>
        <w:t xml:space="preserve">- the test was halted for a warning symptom. No HRt is produced from an unsafe stop, and the red-flag branch short-circuits before any threshold detection is attempted.</w:t>
      </w:r>
    </w:p>
    <w:p>
      <w:pPr>
        <w:pStyle w:val="Compact"/>
        <w:numPr>
          <w:ilvl w:val="0"/>
          <w:numId w:val="1002"/>
        </w:numPr>
      </w:pPr>
      <w:r>
        <w:rPr>
          <w:b/>
          <w:bCs/>
        </w:rPr>
        <w:t xml:space="preserve">No-intolerance</w:t>
      </w:r>
      <w:r>
        <w:t xml:space="preserve"> </w:t>
      </w:r>
      <w:r>
        <w:t xml:space="preserve">- no 3 or more-point rise occurred. On a first test this suggests the patient’s symptoms are unlikely to be driven by exercise intolerance, and the workup should be redirected (cervicogenic, vestibular, mood). On a re-test, it is the recovery signal.</w:t>
      </w:r>
    </w:p>
    <w:p>
      <w:pPr>
        <w:pStyle w:val="FirstParagraph"/>
      </w:pPr>
      <w:r>
        <w:rPr>
          <w:b/>
          <w:bCs/>
        </w:rPr>
        <w:t xml:space="preserve">An important limitation of the implemented classification must be disclosed here rather than in the limitations section alone.</w:t>
      </w:r>
      <w:r>
        <w:t xml:space="preserve"> </w:t>
      </w:r>
      <w:r>
        <w:t xml:space="preserve">Termination type does</w:t>
      </w:r>
      <w:r>
        <w:t xml:space="preserve"> </w:t>
      </w:r>
      <w:r>
        <w:rPr>
          <w:i/>
          <w:iCs/>
        </w:rPr>
        <w:t xml:space="preserve">not</w:t>
      </w:r>
      <w:r>
        <w:t xml:space="preserve"> </w:t>
      </w:r>
      <w:r>
        <w:t xml:space="preserve">gate the no-intolerance classification. A test that the patient voluntarily stopped early, a test that ran to the 20-stage maximum, and a test terminated at genuine volitional exhaustion all classify identically as</w:t>
      </w:r>
      <w:r>
        <w:t xml:space="preserve"> </w:t>
      </w:r>
      <w:r>
        <w:rPr>
          <w:b/>
          <w:bCs/>
        </w:rPr>
        <w:t xml:space="preserve">no-intolerance</w:t>
      </w:r>
      <w:r>
        <w:t xml:space="preserve">, because the rule is simply the absence of a 3 or more-point rise. Since a no-intolerance result on a re-test is what raises the clearance-review flag, an under-exerted test can in principle produce a spuriously reassuring result. Two mitigations apply, and neither eliminates the problem: the result is a</w:t>
      </w:r>
      <w:r>
        <w:t xml:space="preserve"> </w:t>
      </w:r>
      <w:r>
        <w:rPr>
          <w:i/>
          <w:iCs/>
        </w:rPr>
        <w:t xml:space="preserve">review flag</w:t>
      </w:r>
      <w:r>
        <w:t xml:space="preserve"> </w:t>
      </w:r>
      <w:r>
        <w:t xml:space="preserve">only, requiring a clinician to inspect the stage table and sign off before it carries any clearance meaning; and on ingest the server independently re-derives the interpretation and HRt from the raw stage data rather than trusting the client’s claim, overwriting the client’s interpretation, HRt, and band with the server-derived values. A clinician reviewing a no-intolerance result should therefore inspect the stage count, the peak heart rate, and the exhaustion marker before treating it as evidence of recovered tolerance.</w:t>
      </w:r>
    </w:p>
    <w:p>
      <w:pPr>
        <w:pStyle w:val="BodyText"/>
      </w:pPr>
      <w:r>
        <w:rPr>
          <w:b/>
          <w:bCs/>
        </w:rPr>
        <w:t xml:space="preserve">Prognostic flag (recorded; never a dose input).</w:t>
      </w:r>
      <w:r>
        <w:t xml:space="preserve"> </w:t>
      </w:r>
      <w:r>
        <w:t xml:space="preserve">An absolute HRt below</w:t>
      </w:r>
      <w:r>
        <w:t xml:space="preserve"> </w:t>
      </w:r>
      <w:r>
        <w:rPr>
          <w:b/>
          <w:bCs/>
        </w:rPr>
        <w:t xml:space="preserve">135 bpm</w:t>
      </w:r>
      <w:r>
        <w:t xml:space="preserve"> </w:t>
      </w:r>
      <w:r>
        <w:t xml:space="preserve">at presentation is associated with prolonged (30-day) recovery [12]. The workflow surfaces this to the clinician as a prognostic signal. The published criterion also includes a blunted heart-rate response (threshold minus resting no more than 50 bpm), and the reference implementation contains that arm of the rule - but no resting heart rate is captured anywhere in the current workflow, so</w:t>
      </w:r>
      <w:r>
        <w:t xml:space="preserve"> </w:t>
      </w:r>
      <w:r>
        <w:rPr>
          <w:b/>
          <w:bCs/>
        </w:rPr>
        <w:t xml:space="preserve">only the absolute HRt &lt;135 bpm criterion is operative</w:t>
      </w:r>
      <w:r>
        <w:t xml:space="preserve">. We state this rather than claiming the composite Haider criterion is applied, because it is not.</w:t>
      </w:r>
    </w:p>
    <w:p>
      <w:pPr>
        <w:pStyle w:val="BodyText"/>
      </w:pPr>
      <w:r>
        <w:t xml:space="preserve">The flag is</w:t>
      </w:r>
      <w:r>
        <w:t xml:space="preserve"> </w:t>
      </w:r>
      <w:r>
        <w:rPr>
          <w:b/>
          <w:bCs/>
        </w:rPr>
        <w:t xml:space="preserve">prognostic only and is never a dose modifier</w:t>
      </w:r>
      <w:r>
        <w:t xml:space="preserve">, by explicit design. There is no published rule that shortens the starting dose according to severity of exercise intolerance, so the workflow does not invent one; it surfaces the risk and hands dose judgement to the clinician (§7).</w:t>
      </w:r>
    </w:p>
    <w:p>
      <w:pPr>
        <w:pStyle w:val="BodyText"/>
      </w:pPr>
      <w:r>
        <w:rPr>
          <w:i/>
          <w:iCs/>
        </w:rPr>
        <w:t xml:space="preserve">Role:</w:t>
      </w:r>
      <w:r>
        <w:t xml:space="preserve"> </w:t>
      </w:r>
      <w:r>
        <w:t xml:space="preserve">clinician enables the test and interprets the termination.</w:t>
      </w:r>
      <w:r>
        <w:t xml:space="preserve"> </w:t>
      </w:r>
      <w:r>
        <w:rPr>
          <w:i/>
          <w:iCs/>
        </w:rPr>
        <w:t xml:space="preserve">Output:</w:t>
      </w:r>
      <w:r>
        <w:t xml:space="preserve"> </w:t>
      </w:r>
      <w:r>
        <w:t xml:space="preserve">HRt in bpm plus an interpretation, synced to the clinic record as the first point on the recovery trajectory.</w:t>
      </w:r>
    </w:p>
    <w:bookmarkEnd w:id="12"/>
    <w:bookmarkStart w:id="13" w:name="Xeb443cb7fff0e141b9251f8cbc811e1ab66c328"/>
    <w:p>
      <w:pPr>
        <w:pStyle w:val="Heading3"/>
      </w:pPr>
      <w:r>
        <w:t xml:space="preserve">Stage 3 - Individualised band prescription</w:t>
      </w:r>
    </w:p>
    <w:p>
      <w:pPr>
        <w:pStyle w:val="FirstParagraph"/>
      </w:pPr>
      <w:r>
        <w:t xml:space="preserve">The concussion prescription, taken directly from the cited literature and not adjusted:</w:t>
      </w:r>
    </w:p>
    <w:p>
      <w:pPr>
        <w:pStyle w:val="Compact"/>
        <w:numPr>
          <w:ilvl w:val="0"/>
          <w:numId w:val="1003"/>
        </w:numPr>
      </w:pPr>
      <w:r>
        <w:rPr>
          <w:b/>
          <w:bCs/>
        </w:rPr>
        <w:t xml:space="preserve">Intensity: 80-90% of HRt.</w:t>
      </w:r>
      <w:r>
        <w:t xml:space="preserve"> </w:t>
      </w:r>
      <w:r>
        <w:t xml:space="preserve">The 80% floor was the intensity used in the pivotal randomised trial [5]; the 80-90% band is the operational range in the practice literature [11,13]. The workflow computes the lower bound as 80% of HRt and the upper bound as 90% of HRt, each rounded to the nearest bpm. The upper bound is an explicit do-not-exceed ceiling; the lower bound guarantees a therapeutic stimulus.</w:t>
      </w:r>
      <w:r>
        <w:t xml:space="preserve"> </w:t>
      </w:r>
      <w:r>
        <w:rPr>
          <w:b/>
          <w:bCs/>
        </w:rPr>
        <w:t xml:space="preserve">No floor or clamp is applied</w:t>
      </w:r>
      <w:r>
        <w:t xml:space="preserve">: a low measured HRt yields a correspondingly low absolute band, and that gentleness</w:t>
      </w:r>
      <w:r>
        <w:t xml:space="preserve"> </w:t>
      </w:r>
      <w:r>
        <w:rPr>
          <w:i/>
          <w:iCs/>
        </w:rPr>
        <w:t xml:space="preserve">is</w:t>
      </w:r>
      <w:r>
        <w:t xml:space="preserve"> </w:t>
      </w:r>
      <w:r>
        <w:t xml:space="preserve">the individualisation the evidence supports.</w:t>
      </w:r>
    </w:p>
    <w:p>
      <w:pPr>
        <w:pStyle w:val="Compact"/>
        <w:numPr>
          <w:ilvl w:val="0"/>
          <w:numId w:val="1003"/>
        </w:numPr>
      </w:pPr>
      <w:r>
        <w:rPr>
          <w:b/>
          <w:bCs/>
        </w:rPr>
        <w:t xml:space="preserve">Duration: 20 minutes per day, fixed from day one.</w:t>
      </w:r>
      <w:r>
        <w:t xml:space="preserve"> </w:t>
      </w:r>
      <w:r>
        <w:t xml:space="preserve">Session length is not ramped over the programme. This is a common point of clinical error: progression is by heart rate, not by lengthening the session [13].</w:t>
      </w:r>
    </w:p>
    <w:p>
      <w:pPr>
        <w:pStyle w:val="Compact"/>
        <w:numPr>
          <w:ilvl w:val="0"/>
          <w:numId w:val="1003"/>
        </w:numPr>
      </w:pPr>
      <w:r>
        <w:rPr>
          <w:b/>
          <w:bCs/>
        </w:rPr>
        <w:t xml:space="preserve">Frequency: most days.</w:t>
      </w:r>
      <w:r>
        <w:t xml:space="preserve"> </w:t>
      </w:r>
      <w:r>
        <w:t xml:space="preserve">The reference implementation prescribes 6 days per week, within the 5-7 days per week (</w:t>
      </w:r>
      <w:r>
        <w:t xml:space="preserve">“daily / most days”</w:t>
      </w:r>
      <w:r>
        <w:t xml:space="preserve">) range used in the trials and the practice literature [5,13]. No rest days are scheduled.</w:t>
      </w:r>
    </w:p>
    <w:p>
      <w:pPr>
        <w:pStyle w:val="Compact"/>
        <w:numPr>
          <w:ilvl w:val="0"/>
          <w:numId w:val="1003"/>
        </w:numPr>
      </w:pPr>
      <w:r>
        <w:rPr>
          <w:b/>
          <w:bCs/>
        </w:rPr>
        <w:t xml:space="preserve">Within-session stop rule: a 2 or more-point symptom rise</w:t>
      </w:r>
      <w:r>
        <w:t xml:space="preserve"> </w:t>
      </w:r>
      <w:r>
        <w:t xml:space="preserve">above the pre-session score on the 0-10 scale [5], consistent with the consensus tolerance band [4]. This 2 or more-point</w:t>
      </w:r>
      <w:r>
        <w:t xml:space="preserve"> </w:t>
      </w:r>
      <w:r>
        <w:rPr>
          <w:i/>
          <w:iCs/>
        </w:rPr>
        <w:t xml:space="preserve">training</w:t>
      </w:r>
      <w:r>
        <w:t xml:space="preserve"> </w:t>
      </w:r>
      <w:r>
        <w:t xml:space="preserve">threshold is deliberately lower than, and distinct from, the 3 or more-point</w:t>
      </w:r>
      <w:r>
        <w:t xml:space="preserve"> </w:t>
      </w:r>
      <w:r>
        <w:rPr>
          <w:i/>
          <w:iCs/>
        </w:rPr>
        <w:t xml:space="preserve">diagnostic</w:t>
      </w:r>
      <w:r>
        <w:t xml:space="preserve"> </w:t>
      </w:r>
      <w:r>
        <w:t xml:space="preserve">threshold of Stage 2.</w:t>
      </w:r>
    </w:p>
    <w:p>
      <w:pPr>
        <w:pStyle w:val="Compact"/>
        <w:numPr>
          <w:ilvl w:val="0"/>
          <w:numId w:val="1003"/>
        </w:numPr>
      </w:pPr>
      <w:r>
        <w:rPr>
          <w:b/>
          <w:bCs/>
        </w:rPr>
        <w:t xml:space="preserve">Other conditions.</w:t>
      </w:r>
      <w:r>
        <w:t xml:space="preserve"> </w:t>
      </w:r>
      <w:r>
        <w:t xml:space="preserve">The engine carries more conservative band and dose presets for moderate-to-severe traumatic brain injury and other neurological and non-neurological rehabilitation contexts, sharing the identical safety logic and differing only in the percentage band and dose defaults.</w:t>
      </w:r>
      <w:r>
        <w:t xml:space="preserve"> </w:t>
      </w:r>
      <w:r>
        <w:rPr>
          <w:b/>
          <w:bCs/>
        </w:rPr>
        <w:t xml:space="preserve">None of these presets is validated by the concussion trials</w:t>
      </w:r>
      <w:r>
        <w:t xml:space="preserve">, and they are outside the scope of this paper.</w:t>
      </w:r>
    </w:p>
    <w:p>
      <w:pPr>
        <w:pStyle w:val="FirstParagraph"/>
      </w:pPr>
      <w:r>
        <w:rPr>
          <w:i/>
          <w:iCs/>
        </w:rPr>
        <w:t xml:space="preserve">Output:</w:t>
      </w:r>
      <w:r>
        <w:t xml:space="preserve"> </w:t>
      </w:r>
      <w:r>
        <w:t xml:space="preserve">a plain-language prescription the patient can follow, and a structured band (lower and upper bpm) that the tool enforces live.</w:t>
      </w:r>
    </w:p>
    <w:bookmarkEnd w:id="13"/>
    <w:bookmarkStart w:id="14" w:name="Xdd918cde6aefd6633beb4fa6631c317cce2f0af"/>
    <w:p>
      <w:pPr>
        <w:pStyle w:val="Heading3"/>
      </w:pPr>
      <w:r>
        <w:t xml:space="preserve">Stage 4 - Live-monitored between-visit rehabilitation</w:t>
      </w:r>
    </w:p>
    <w:p>
      <w:pPr>
        <w:pStyle w:val="FirstParagraph"/>
      </w:pPr>
      <w:r>
        <w:t xml:space="preserve">This is the stage that no paper prescription can deliver.</w:t>
      </w:r>
    </w:p>
    <w:p>
      <w:pPr>
        <w:numPr>
          <w:ilvl w:val="0"/>
          <w:numId w:val="1004"/>
        </w:numPr>
      </w:pPr>
      <w:r>
        <w:rPr>
          <w:b/>
          <w:bCs/>
        </w:rPr>
        <w:t xml:space="preserve">Live band feedback.</w:t>
      </w:r>
      <w:r>
        <w:t xml:space="preserve"> </w:t>
      </w:r>
      <w:r>
        <w:t xml:space="preserve">During each home session the measured heart rate is displayed against the band in real time as</w:t>
      </w:r>
      <w:r>
        <w:t xml:space="preserve"> </w:t>
      </w:r>
      <w:r>
        <w:rPr>
          <w:i/>
          <w:iCs/>
        </w:rPr>
        <w:t xml:space="preserve">under / in-zone / over</w:t>
      </w:r>
      <w:r>
        <w:t xml:space="preserve">, so the patient can self-dose to an otherwise invisible ceiling. If the signal is lost, the displayed value is cleared rather than held.</w:t>
      </w:r>
    </w:p>
    <w:p>
      <w:pPr>
        <w:numPr>
          <w:ilvl w:val="0"/>
          <w:numId w:val="1004"/>
        </w:numPr>
      </w:pPr>
      <w:r>
        <w:rPr>
          <w:b/>
          <w:bCs/>
        </w:rPr>
        <w:t xml:space="preserve">Within-session stop rule.</w:t>
      </w:r>
      <w:r>
        <w:t xml:space="preserve"> </w:t>
      </w:r>
      <w:r>
        <w:t xml:space="preserve">If symptoms rise 2 or more points above the pre-session score, the tool prompts the patient to stop, encoding the consensus tolerance band rather than relying on recall.</w:t>
      </w:r>
    </w:p>
    <w:p>
      <w:pPr>
        <w:numPr>
          <w:ilvl w:val="0"/>
          <w:numId w:val="1004"/>
        </w:numPr>
      </w:pPr>
      <w:r>
        <w:rPr>
          <w:b/>
          <w:bCs/>
        </w:rPr>
        <w:t xml:space="preserve">Structured session log.</w:t>
      </w:r>
      <w:r>
        <w:t xml:space="preserve"> </w:t>
      </w:r>
      <w:r>
        <w:t xml:space="preserve">Each session records average and peak heart rate,</w:t>
      </w:r>
      <w:r>
        <w:t xml:space="preserve"> </w:t>
      </w:r>
      <w:r>
        <w:rPr>
          <w:b/>
          <w:bCs/>
        </w:rPr>
        <w:t xml:space="preserve">actual elapsed minutes completed</w:t>
      </w:r>
      <w:r>
        <w:t xml:space="preserve"> </w:t>
      </w:r>
      <w:r>
        <w:t xml:space="preserve">(never the prescribed target), pre-session and peak symptom scores, whether the session ended on the stop rule, an immediate post-session self-report, a next-day check-in, time-in-zone, and the verification status and verified-reading percentage of the heart-rate data.</w:t>
      </w:r>
    </w:p>
    <w:p>
      <w:pPr>
        <w:numPr>
          <w:ilvl w:val="0"/>
          <w:numId w:val="1004"/>
        </w:numPr>
      </w:pPr>
      <w:r>
        <w:rPr>
          <w:b/>
          <w:bCs/>
        </w:rPr>
        <w:t xml:space="preserve">Return to the prescriber.</w:t>
      </w:r>
      <w:r>
        <w:t xml:space="preserve"> </w:t>
      </w:r>
      <w:r>
        <w:t xml:space="preserve">Where the patient has entered a clinic code, every threshold test and training session syncs to the clinician dashboard: HRt trajectory, band, minutes, symptom deltas, and flares. A short-lived live tick lets the clinician observe an in-progress session and drops the patient from the live view when the session ends.</w:t>
      </w:r>
      <w:r>
        <w:t xml:space="preserve"> </w:t>
      </w:r>
      <w:r>
        <w:rPr>
          <w:b/>
          <w:bCs/>
        </w:rPr>
        <w:t xml:space="preserve">Patients operating self-guided, without a clinic code, transmit nothing; all state remains local to the device.</w:t>
      </w:r>
    </w:p>
    <w:p>
      <w:pPr>
        <w:numPr>
          <w:ilvl w:val="0"/>
          <w:numId w:val="1004"/>
        </w:numPr>
      </w:pPr>
      <w:r>
        <w:rPr>
          <w:b/>
          <w:bCs/>
        </w:rPr>
        <w:t xml:space="preserve">Progression: by heart rate, clinician-reviewable, and verification-gated.</w:t>
      </w:r>
      <w:r>
        <w:t xml:space="preserve"> </w:t>
      </w:r>
      <w:r>
        <w:t xml:space="preserve">In the trials, progression is by heart rate - the ceiling rises as tolerance improves while the session stays at approximately 20 minutes [5,6,13]. The workflow operationalises this as a proposal for clinician review, evaluated in the following order:</w:t>
      </w:r>
    </w:p>
    <w:p>
      <w:pPr>
        <w:pStyle w:val="Compact"/>
        <w:numPr>
          <w:ilvl w:val="1"/>
          <w:numId w:val="1005"/>
        </w:numPr>
      </w:pPr>
      <w:r>
        <w:rPr>
          <w:b/>
          <w:bCs/>
        </w:rPr>
        <w:t xml:space="preserve">No session history</w:t>
      </w:r>
      <w:r>
        <w:t xml:space="preserve"> </w:t>
      </w:r>
      <w:r>
        <w:t xml:space="preserve">then hold.</w:t>
      </w:r>
    </w:p>
    <w:p>
      <w:pPr>
        <w:pStyle w:val="Compact"/>
        <w:numPr>
          <w:ilvl w:val="1"/>
          <w:numId w:val="1005"/>
        </w:numPr>
      </w:pPr>
      <w:r>
        <w:rPr>
          <w:b/>
          <w:bCs/>
        </w:rPr>
        <w:t xml:space="preserve">Two consecutive flaring sessions</w:t>
      </w:r>
      <w:r>
        <w:t xml:space="preserve"> </w:t>
      </w:r>
      <w:r>
        <w:t xml:space="preserve">then</w:t>
      </w:r>
      <w:r>
        <w:t xml:space="preserve"> </w:t>
      </w:r>
      <w:r>
        <w:rPr>
          <w:b/>
          <w:bCs/>
        </w:rPr>
        <w:t xml:space="preserve">rest</w:t>
      </w:r>
      <w:r>
        <w:t xml:space="preserve">. Take a rest day, reduce the ceiling by 5 bpm (floored at the lower bound of the band), and check in with the clinician before resuming.</w:t>
      </w:r>
      <w:r>
        <w:t xml:space="preserve"> </w:t>
      </w:r>
      <w:r>
        <w:rPr>
          <w:i/>
          <w:iCs/>
        </w:rPr>
        <w:t xml:space="preserve">This is a design decision, not a trial-specified rule</w:t>
      </w:r>
      <w:r>
        <w:t xml:space="preserve"> </w:t>
      </w:r>
      <w:r>
        <w:t xml:space="preserve">- see §7.</w:t>
      </w:r>
    </w:p>
    <w:p>
      <w:pPr>
        <w:pStyle w:val="Compact"/>
        <w:numPr>
          <w:ilvl w:val="1"/>
          <w:numId w:val="1005"/>
        </w:numPr>
      </w:pPr>
      <w:r>
        <w:rPr>
          <w:b/>
          <w:bCs/>
        </w:rPr>
        <w:t xml:space="preserve">Two or more flaring sessions within the last three</w:t>
      </w:r>
      <w:r>
        <w:t xml:space="preserve"> </w:t>
      </w:r>
      <w:r>
        <w:t xml:space="preserve">then</w:t>
      </w:r>
      <w:r>
        <w:t xml:space="preserve"> </w:t>
      </w:r>
      <w:r>
        <w:rPr>
          <w:b/>
          <w:bCs/>
        </w:rPr>
        <w:t xml:space="preserve">regress</w:t>
      </w:r>
      <w:r>
        <w:t xml:space="preserve">: reduce the ceiling by 5 bpm and continue daily exercise at the reduced intensity.</w:t>
      </w:r>
    </w:p>
    <w:p>
      <w:pPr>
        <w:pStyle w:val="Compact"/>
        <w:numPr>
          <w:ilvl w:val="1"/>
          <w:numId w:val="1005"/>
        </w:numPr>
      </w:pPr>
      <w:r>
        <w:rPr>
          <w:b/>
          <w:bCs/>
        </w:rPr>
        <w:t xml:space="preserve">Any single recent flare</w:t>
      </w:r>
      <w:r>
        <w:t xml:space="preserve"> </w:t>
      </w:r>
      <w:r>
        <w:t xml:space="preserve">then</w:t>
      </w:r>
      <w:r>
        <w:t xml:space="preserve"> </w:t>
      </w:r>
      <w:r>
        <w:rPr>
          <w:b/>
          <w:bCs/>
        </w:rPr>
        <w:t xml:space="preserve">hold</w:t>
      </w:r>
      <w:r>
        <w:t xml:space="preserve"> </w:t>
      </w:r>
      <w:r>
        <w:t xml:space="preserve">until a clean run is achieved.</w:t>
      </w:r>
    </w:p>
    <w:p>
      <w:pPr>
        <w:pStyle w:val="Compact"/>
        <w:numPr>
          <w:ilvl w:val="1"/>
          <w:numId w:val="1005"/>
        </w:numPr>
      </w:pPr>
      <w:r>
        <w:rPr>
          <w:b/>
          <w:bCs/>
        </w:rPr>
        <w:t xml:space="preserve">Otherwise, advance</w:t>
      </w:r>
      <w:r>
        <w:t xml:space="preserve"> </w:t>
      </w:r>
      <w:r>
        <w:t xml:space="preserve">if and only if the last</w:t>
      </w:r>
      <w:r>
        <w:t xml:space="preserve"> </w:t>
      </w:r>
      <w:r>
        <w:rPr>
          <w:b/>
          <w:bCs/>
        </w:rPr>
        <w:t xml:space="preserve">three verified</w:t>
      </w:r>
      <w:r>
        <w:t xml:space="preserve"> </w:t>
      </w:r>
      <w:r>
        <w:t xml:space="preserve">sessions were all clean</w:t>
      </w:r>
      <w:r>
        <w:t xml:space="preserve"> </w:t>
      </w:r>
      <w:r>
        <w:rPr>
          <w:i/>
          <w:iCs/>
        </w:rPr>
        <w:t xml:space="preserve">and</w:t>
      </w:r>
      <w:r>
        <w:t xml:space="preserve"> </w:t>
      </w:r>
      <w:r>
        <w:t xml:space="preserve">each completed at least</w:t>
      </w:r>
      <w:r>
        <w:t xml:space="preserve"> </w:t>
      </w:r>
      <w:r>
        <w:rPr>
          <w:b/>
          <w:bCs/>
        </w:rPr>
        <w:t xml:space="preserve">80% of the prescribed minutes</w:t>
      </w:r>
      <w:r>
        <w:t xml:space="preserve">. The ceiling rises by</w:t>
      </w:r>
      <w:r>
        <w:t xml:space="preserve"> </w:t>
      </w:r>
      <w:r>
        <w:rPr>
          <w:b/>
          <w:bCs/>
        </w:rPr>
        <w:t xml:space="preserve">5 bpm</w:t>
      </w:r>
      <w:r>
        <w:t xml:space="preserve">, capped at the measured HRt.</w:t>
      </w:r>
    </w:p>
    <w:p>
      <w:pPr>
        <w:pStyle w:val="Compact"/>
        <w:numPr>
          <w:ilvl w:val="1"/>
          <w:numId w:val="1005"/>
        </w:numPr>
      </w:pPr>
      <w:r>
        <w:rPr>
          <w:b/>
          <w:bCs/>
        </w:rPr>
        <w:t xml:space="preserve">At the cap</w:t>
      </w:r>
      <w:r>
        <w:t xml:space="preserve"> </w:t>
      </w:r>
      <w:r>
        <w:t xml:space="preserve">- where the ceiling has reached the measured HRt - the proposal becomes</w:t>
      </w:r>
      <w:r>
        <w:t xml:space="preserve"> </w:t>
      </w:r>
      <w:r>
        <w:rPr>
          <w:b/>
          <w:bCs/>
        </w:rPr>
        <w:t xml:space="preserve">retest</w:t>
      </w:r>
      <w:r>
        <w:t xml:space="preserve"> </w:t>
      </w:r>
      <w:r>
        <w:t xml:space="preserve">rather than advance. A fresh graded test is the only route to a higher band.</w:t>
      </w:r>
    </w:p>
    <w:p>
      <w:pPr>
        <w:numPr>
          <w:ilvl w:val="0"/>
          <w:numId w:val="1000"/>
        </w:numPr>
      </w:pPr>
      <w:r>
        <w:t xml:space="preserve">A session counts as a flare if the patient reported feeling worse at the next-day check-in, or if the peak symptom score rose 2 or more points above the pre-session score.</w:t>
      </w:r>
    </w:p>
    <w:p>
      <w:pPr>
        <w:numPr>
          <w:ilvl w:val="0"/>
          <w:numId w:val="1000"/>
        </w:numPr>
      </w:pPr>
      <w:r>
        <w:rPr>
          <w:b/>
          <w:bCs/>
        </w:rPr>
        <w:t xml:space="preserve">The verification gate is deliberately asymmetric.</w:t>
      </w:r>
      <w:r>
        <w:t xml:space="preserve"> </w:t>
      </w:r>
      <w:r>
        <w:t xml:space="preserve">Only sessions verified against a live Bluetooth wearable stream - at least 80% of readings matching a fresh live feed at the moment of logging - count as evidence for an</w:t>
      </w:r>
      <w:r>
        <w:t xml:space="preserve"> </w:t>
      </w:r>
      <w:r>
        <w:rPr>
          <w:i/>
          <w:iCs/>
        </w:rPr>
        <w:t xml:space="preserve">advance</w:t>
      </w:r>
      <w:r>
        <w:t xml:space="preserve">. Manual and camera-sourced sessions can never advance the band. But</w:t>
      </w:r>
      <w:r>
        <w:t xml:space="preserve"> </w:t>
      </w:r>
      <w:r>
        <w:rPr>
          <w:i/>
          <w:iCs/>
        </w:rPr>
        <w:t xml:space="preserve">every</w:t>
      </w:r>
      <w:r>
        <w:t xml:space="preserve"> </w:t>
      </w:r>
      <w:r>
        <w:t xml:space="preserve">session, verified or not, counts as evidence for a</w:t>
      </w:r>
      <w:r>
        <w:t xml:space="preserve"> </w:t>
      </w:r>
      <w:r>
        <w:rPr>
          <w:i/>
          <w:iCs/>
        </w:rPr>
        <w:t xml:space="preserve">rest</w:t>
      </w:r>
      <w:r>
        <w:t xml:space="preserve"> </w:t>
      </w:r>
      <w:r>
        <w:t xml:space="preserve">or</w:t>
      </w:r>
      <w:r>
        <w:t xml:space="preserve"> </w:t>
      </w:r>
      <w:r>
        <w:rPr>
          <w:i/>
          <w:iCs/>
        </w:rPr>
        <w:t xml:space="preserve">regress</w:t>
      </w:r>
      <w:r>
        <w:t xml:space="preserve"> </w:t>
      </w:r>
      <w:r>
        <w:t xml:space="preserve">decision. Safety evidence is never gated on provenance; only dose escalation is.</w:t>
      </w:r>
    </w:p>
    <w:p>
      <w:pPr>
        <w:numPr>
          <w:ilvl w:val="0"/>
          <w:numId w:val="1000"/>
        </w:numPr>
      </w:pPr>
      <w:r>
        <w:t xml:space="preserve">The regression window is bounded to recent sessions, so that an old, long-since-resolved flare cannot ratchet the ceiling downward indefinitely once a patient is running clean.</w:t>
      </w:r>
    </w:p>
    <w:p>
      <w:pPr>
        <w:numPr>
          <w:ilvl w:val="0"/>
          <w:numId w:val="1004"/>
        </w:numPr>
      </w:pPr>
      <w:r>
        <w:rPr>
          <w:b/>
          <w:bCs/>
        </w:rPr>
        <w:t xml:space="preserve">Re-test cadence.</w:t>
      </w:r>
      <w:r>
        <w:t xml:space="preserve"> </w:t>
      </w:r>
      <w:r>
        <w:t xml:space="preserve">Graded re-testing is weekly in the trial protocols and one-to-two-weekly in clinical practice, subject to the 48-hour minimum spacing and the one-test-per-day rule of Stage 1.</w:t>
      </w:r>
    </w:p>
    <w:p>
      <w:pPr>
        <w:pStyle w:val="FirstParagraph"/>
      </w:pPr>
      <w:r>
        <w:rPr>
          <w:i/>
          <w:iCs/>
        </w:rPr>
        <w:t xml:space="preserve">Role:</w:t>
      </w:r>
      <w:r>
        <w:t xml:space="preserve"> </w:t>
      </w:r>
      <w:r>
        <w:t xml:space="preserve">patient executes; clinician monitors and approves progression.</w:t>
      </w:r>
      <w:r>
        <w:t xml:space="preserve"> </w:t>
      </w:r>
      <w:r>
        <w:rPr>
          <w:i/>
          <w:iCs/>
        </w:rPr>
        <w:t xml:space="preserve">Stopping criteria:</w:t>
      </w:r>
      <w:r>
        <w:t xml:space="preserve"> </w:t>
      </w:r>
      <w:r>
        <w:t xml:space="preserve">red flag at any point; repeated provocation then rest, regress, or referral.</w:t>
      </w:r>
    </w:p>
    <w:bookmarkEnd w:id="14"/>
    <w:bookmarkStart w:id="15" w:name="stage-5---graded-return"/>
    <w:p>
      <w:pPr>
        <w:pStyle w:val="Heading3"/>
      </w:pPr>
      <w:r>
        <w:t xml:space="preserve">Stage 5 - Graded return</w:t>
      </w:r>
    </w:p>
    <w:p>
      <w:pPr>
        <w:pStyle w:val="Compact"/>
        <w:numPr>
          <w:ilvl w:val="0"/>
          <w:numId w:val="1006"/>
        </w:numPr>
      </w:pPr>
      <w:r>
        <w:rPr>
          <w:b/>
          <w:bCs/>
        </w:rPr>
        <w:t xml:space="preserve">Serial HRt as the objective recovery trajectory.</w:t>
      </w:r>
      <w:r>
        <w:t xml:space="preserve"> </w:t>
      </w:r>
      <w:r>
        <w:t xml:space="preserve">Repeated graded testing tracks the threshold rising toward, or reaching, no-provocation. The Buffalo test is reliable as a repeated measure [14], which is what licenses serial testing as a trajectory rather than a series of unrelated snapshots.</w:t>
      </w:r>
    </w:p>
    <w:p>
      <w:pPr>
        <w:pStyle w:val="Compact"/>
        <w:numPr>
          <w:ilvl w:val="0"/>
          <w:numId w:val="1006"/>
        </w:numPr>
      </w:pPr>
      <w:r>
        <w:rPr>
          <w:b/>
          <w:bCs/>
        </w:rPr>
        <w:t xml:space="preserve">Clearance-review signal, not clearance.</w:t>
      </w:r>
      <w:r>
        <w:t xml:space="preserve"> </w:t>
      </w:r>
      <w:r>
        <w:t xml:space="preserve">A re-test returning</w:t>
      </w:r>
      <w:r>
        <w:t xml:space="preserve"> </w:t>
      </w:r>
      <w:r>
        <w:rPr>
          <w:i/>
          <w:iCs/>
        </w:rPr>
        <w:t xml:space="preserve">no-intolerance</w:t>
      </w:r>
      <w:r>
        <w:t xml:space="preserve"> </w:t>
      </w:r>
      <w:r>
        <w:t xml:space="preserve">surfaces automatically as a clinician clearance-</w:t>
      </w:r>
      <w:r>
        <w:rPr>
          <w:b/>
          <w:bCs/>
        </w:rPr>
        <w:t xml:space="preserve">review</w:t>
      </w:r>
      <w:r>
        <w:t xml:space="preserve"> </w:t>
      </w:r>
      <w:r>
        <w:t xml:space="preserve">flag. Given the classification limitation described in Stage 2, this flag is explicitly not a clearance determination and must be interpreted alongside the stage table.</w:t>
      </w:r>
    </w:p>
    <w:p>
      <w:pPr>
        <w:pStyle w:val="Compact"/>
        <w:numPr>
          <w:ilvl w:val="0"/>
          <w:numId w:val="1006"/>
        </w:numPr>
      </w:pPr>
      <w:r>
        <w:rPr>
          <w:b/>
          <w:bCs/>
        </w:rPr>
        <w:t xml:space="preserve">Integration with the consensus return strategy.</w:t>
      </w:r>
      <w:r>
        <w:t xml:space="preserve"> </w:t>
      </w:r>
      <w:r>
        <w:t xml:space="preserve">Clearance to progress aerobic load feeds into the consensus graded return-to-sport and return-to-learn strategy [4] - stepwise, symptom-limited progression through activity stages with the same tolerance rule - which remains a clinician-led decision. The workflow supplies objective aerobic-tolerance evidence. It does not, by itself, clear an athlete for contact, and no output of the software should be read as doing so.</w:t>
      </w:r>
    </w:p>
    <w:p>
      <w:r>
        <w:pict>
          <v:rect style="width:0;height:1.5pt" o:hralign="center" o:hrstd="t" o:hr="t"/>
        </w:pict>
      </w:r>
    </w:p>
    <w:bookmarkEnd w:id="15"/>
    <w:bookmarkEnd w:id="16"/>
    <w:bookmarkStart w:id="17" w:name="decision-rules-at-a-glance"/>
    <w:p>
      <w:pPr>
        <w:pStyle w:val="Heading2"/>
      </w:pPr>
      <w:r>
        <w:t xml:space="preserve">5. Decision rules at a glance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Rule</w:t>
            </w:r>
          </w:p>
        </w:tc>
        <w:tc>
          <w:tcPr/>
          <w:p>
            <w:pPr>
              <w:pStyle w:val="Compact"/>
            </w:pPr>
            <w:r>
              <w:t xml:space="preserve">Action</w:t>
            </w:r>
          </w:p>
        </w:tc>
      </w:tr>
      <w:tr>
        <w:tc>
          <w:tcPr/>
          <w:p>
            <w:pPr>
              <w:pStyle w:val="Compact"/>
            </w:pPr>
            <w:r>
              <w:t xml:space="preserve">Red flag at screen or mid-test</w:t>
            </w:r>
          </w:p>
        </w:tc>
        <w:tc>
          <w:tcPr/>
          <w:p>
            <w:pPr>
              <w:pStyle w:val="Compact"/>
            </w:pPr>
            <w:r>
              <w:t xml:space="preserve">Emergency red-flag list positive</w:t>
            </w:r>
          </w:p>
        </w:tc>
        <w:tc>
          <w:tcPr/>
          <w:p>
            <w:pPr>
              <w:pStyle w:val="Compact"/>
            </w:pPr>
            <w:r>
              <w:t xml:space="preserve">Halt; no HRt produced; urgent medical review; testing locked until clinician clearance</w:t>
            </w:r>
          </w:p>
        </w:tc>
      </w:tr>
      <w:tr>
        <w:tc>
          <w:tcPr/>
          <w:p>
            <w:pPr>
              <w:pStyle w:val="Compact"/>
            </w:pPr>
            <w:r>
              <w:t xml:space="preserve">Resting symptom score at least 8/10 pre-test</w:t>
            </w:r>
          </w:p>
        </w:tc>
        <w:tc>
          <w:tcPr/>
          <w:p>
            <w:pPr>
              <w:pStyle w:val="Compact"/>
            </w:pPr>
            <w:r>
              <w:t xml:space="preserve">Readiness gate</w:t>
            </w:r>
          </w:p>
        </w:tc>
        <w:tc>
          <w:tcPr/>
          <w:p>
            <w:pPr>
              <w:pStyle w:val="Compact"/>
            </w:pPr>
            <w:r>
              <w:t xml:space="preserve">Testing blocked; not a test day</w:t>
            </w:r>
          </w:p>
        </w:tc>
      </w:tr>
      <w:tr>
        <w:tc>
          <w:tcPr/>
          <w:p>
            <w:pPr>
              <w:pStyle w:val="Compact"/>
            </w:pPr>
            <w:r>
              <w:t xml:space="preserve">Test within 48 h of the last, or same calendar day</w:t>
            </w:r>
          </w:p>
        </w:tc>
        <w:tc>
          <w:tcPr/>
          <w:p>
            <w:pPr>
              <w:pStyle w:val="Compact"/>
            </w:pPr>
            <w:r>
              <w:t xml:space="preserve">Re-test spacing</w:t>
            </w:r>
          </w:p>
        </w:tc>
        <w:tc>
          <w:tcPr/>
          <w:p>
            <w:pPr>
              <w:pStyle w:val="Compact"/>
            </w:pPr>
            <w:r>
              <w:t xml:space="preserve">Blocked (48 h overridable by clinician direction or a just-regressed band; the one-per-day rule is absolute)</w:t>
            </w:r>
          </w:p>
        </w:tc>
      </w:tr>
      <w:tr>
        <w:tc>
          <w:tcPr/>
          <w:p>
            <w:pPr>
              <w:pStyle w:val="Compact"/>
            </w:pPr>
            <w:r>
              <w:t xml:space="preserve">Symptom score rises 3 or more points above rest during the graded ramp</w:t>
            </w:r>
          </w:p>
        </w:tc>
        <w:tc>
          <w:tcPr/>
          <w:p>
            <w:pPr>
              <w:pStyle w:val="Compact"/>
            </w:pPr>
            <w:r>
              <w:t xml:space="preserve">Diagnostic provocation criterion</w:t>
            </w:r>
          </w:p>
        </w:tc>
        <w:tc>
          <w:tcPr/>
          <w:p>
            <w:pPr>
              <w:pStyle w:val="Compact"/>
            </w:pPr>
            <w:r>
              <w:t xml:space="preserve">Record HRt at that minute; interpretation</w:t>
            </w:r>
            <w:r>
              <w:t xml:space="preserve"> </w:t>
            </w:r>
            <w:r>
              <w:rPr>
                <w:i/>
                <w:iCs/>
              </w:rPr>
              <w:t xml:space="preserve">physiologic</w:t>
            </w:r>
            <w:r>
              <w:t xml:space="preserve">; prescribe band</w:t>
            </w:r>
          </w:p>
        </w:tc>
      </w:tr>
      <w:tr>
        <w:tc>
          <w:tcPr/>
          <w:p>
            <w:pPr>
              <w:pStyle w:val="Compact"/>
            </w:pPr>
            <w:r>
              <w:t xml:space="preserve">No 3 or more-point rise, any termination type</w:t>
            </w:r>
          </w:p>
        </w:tc>
        <w:tc>
          <w:tcPr/>
          <w:p>
            <w:pPr>
              <w:pStyle w:val="Compact"/>
            </w:pPr>
            <w:r>
              <w:t xml:space="preserve">No exercise-intolerance phenotype detected</w:t>
            </w:r>
          </w:p>
        </w:tc>
        <w:tc>
          <w:tcPr/>
          <w:p>
            <w:pPr>
              <w:pStyle w:val="Compact"/>
            </w:pPr>
            <w:r>
              <w:t xml:space="preserve">Interpretation</w:t>
            </w:r>
            <w:r>
              <w:t xml:space="preserve"> </w:t>
            </w:r>
            <w:r>
              <w:rPr>
                <w:i/>
                <w:iCs/>
              </w:rPr>
              <w:t xml:space="preserve">no-intolerance</w:t>
            </w:r>
            <w:r>
              <w:t xml:space="preserve">;</w:t>
            </w:r>
            <w:r>
              <w:t xml:space="preserve"> </w:t>
            </w:r>
            <w:r>
              <w:rPr>
                <w:b/>
                <w:bCs/>
              </w:rPr>
              <w:t xml:space="preserve">not gated on termination type</w:t>
            </w:r>
            <w:r>
              <w:t xml:space="preserve"> </w:t>
            </w:r>
            <w:r>
              <w:t xml:space="preserve">- clinician must review the stage table before drawing any conclusion</w:t>
            </w:r>
          </w:p>
        </w:tc>
      </w:tr>
      <w:tr>
        <w:tc>
          <w:tcPr/>
          <w:p>
            <w:pPr>
              <w:pStyle w:val="Compact"/>
            </w:pPr>
            <w:r>
              <w:t xml:space="preserve">No-intolerance on a re-test</w:t>
            </w:r>
          </w:p>
        </w:tc>
        <w:tc>
          <w:tcPr/>
          <w:p>
            <w:pPr>
              <w:pStyle w:val="Compact"/>
            </w:pPr>
            <w:r>
              <w:t xml:space="preserve">Possible recovered tolerance</w:t>
            </w:r>
          </w:p>
        </w:tc>
        <w:tc>
          <w:tcPr/>
          <w:p>
            <w:pPr>
              <w:pStyle w:val="Compact"/>
            </w:pPr>
            <w:r>
              <w:t xml:space="preserve">Raise clearance-</w:t>
            </w:r>
            <w:r>
              <w:rPr>
                <w:b/>
                <w:bCs/>
              </w:rPr>
              <w:t xml:space="preserve">review</w:t>
            </w:r>
            <w:r>
              <w:t xml:space="preserve"> </w:t>
            </w:r>
            <w:r>
              <w:t xml:space="preserve">flag for the clinician; not a clearance</w:t>
            </w:r>
          </w:p>
        </w:tc>
      </w:tr>
      <w:tr>
        <w:tc>
          <w:tcPr/>
          <w:p>
            <w:pPr>
              <w:pStyle w:val="Compact"/>
            </w:pPr>
            <w:r>
              <w:t xml:space="preserve">HRt &lt;135 bpm</w:t>
            </w:r>
          </w:p>
        </w:tc>
        <w:tc>
          <w:tcPr/>
          <w:p>
            <w:pPr>
              <w:pStyle w:val="Compact"/>
            </w:pPr>
            <w:r>
              <w:t xml:space="preserve">Prognostic flag (recorded; never a dose input)</w:t>
            </w:r>
          </w:p>
        </w:tc>
        <w:tc>
          <w:tcPr/>
          <w:p>
            <w:pPr>
              <w:pStyle w:val="Compact"/>
            </w:pPr>
            <w:r>
              <w:t xml:space="preserve">Surface prolonged-recovery signal to the clinician</w:t>
            </w:r>
          </w:p>
        </w:tc>
      </w:tr>
      <w:tr>
        <w:tc>
          <w:tcPr/>
          <w:p>
            <w:pPr>
              <w:pStyle w:val="Compact"/>
            </w:pPr>
            <w:r>
              <w:t xml:space="preserve">Symptom rise 2 or more points during a home session</w:t>
            </w:r>
          </w:p>
        </w:tc>
        <w:tc>
          <w:tcPr/>
          <w:p>
            <w:pPr>
              <w:pStyle w:val="Compact"/>
            </w:pPr>
            <w:r>
              <w:t xml:space="preserve">Within-session</w:t>
            </w:r>
            <w:r>
              <w:t xml:space="preserve"> </w:t>
            </w:r>
            <w:r>
              <w:rPr>
                <w:b/>
                <w:bCs/>
              </w:rPr>
              <w:t xml:space="preserve">training</w:t>
            </w:r>
            <w:r>
              <w:t xml:space="preserve"> </w:t>
            </w:r>
            <w:r>
              <w:t xml:space="preserve">stop rule</w:t>
            </w:r>
          </w:p>
        </w:tc>
        <w:tc>
          <w:tcPr/>
          <w:p>
            <w:pPr>
              <w:pStyle w:val="Compact"/>
            </w:pPr>
            <w:r>
              <w:t xml:space="preserve">Stop session; log as flare</w:t>
            </w:r>
          </w:p>
        </w:tc>
      </w:tr>
      <w:tr>
        <w:tc>
          <w:tcPr/>
          <w:p>
            <w:pPr>
              <w:pStyle w:val="Compact"/>
            </w:pPr>
            <w:r>
              <w:t xml:space="preserve">Two consecutive flaring sessions</w:t>
            </w:r>
          </w:p>
        </w:tc>
        <w:tc>
          <w:tcPr/>
          <w:p>
            <w:pPr>
              <w:pStyle w:val="Compact"/>
            </w:pPr>
            <w:r>
              <w:t xml:space="preserve">Design decision, not a trial rule</w:t>
            </w:r>
          </w:p>
        </w:tc>
        <w:tc>
          <w:tcPr/>
          <w:p>
            <w:pPr>
              <w:pStyle w:val="Compact"/>
            </w:pPr>
            <w:r>
              <w:t xml:space="preserve">Rest day; ceiling -5 bpm (floored at band lower bound); clinician check-in</w:t>
            </w:r>
          </w:p>
        </w:tc>
      </w:tr>
      <w:tr>
        <w:tc>
          <w:tcPr/>
          <w:p>
            <w:pPr>
              <w:pStyle w:val="Compact"/>
            </w:pPr>
            <w:r>
              <w:t xml:space="preserve">2 or more flares in the last three sessions</w:t>
            </w:r>
          </w:p>
        </w:tc>
        <w:tc>
          <w:tcPr/>
          <w:p>
            <w:pPr>
              <w:pStyle w:val="Compact"/>
            </w:pPr>
            <w:r>
              <w:t xml:space="preserve">Reduce, don’t rest</w:t>
            </w:r>
          </w:p>
        </w:tc>
        <w:tc>
          <w:tcPr/>
          <w:p>
            <w:pPr>
              <w:pStyle w:val="Compact"/>
            </w:pPr>
            <w:r>
              <w:t xml:space="preserve">Ceiling -5 bpm; continue daily at reduced intensity</w:t>
            </w:r>
          </w:p>
        </w:tc>
      </w:tr>
      <w:tr>
        <w:tc>
          <w:tcPr/>
          <w:p>
            <w:pPr>
              <w:pStyle w:val="Compact"/>
            </w:pPr>
            <w:r>
              <w:t xml:space="preserve">One recent flare</w:t>
            </w:r>
          </w:p>
        </w:tc>
        <w:tc>
          <w:tcPr/>
          <w:p>
            <w:pPr>
              <w:pStyle w:val="Compact"/>
            </w:pPr>
            <w:r>
              <w:t xml:space="preserve">Insufficient evidence to escalate</w:t>
            </w:r>
          </w:p>
        </w:tc>
        <w:tc>
          <w:tcPr/>
          <w:p>
            <w:pPr>
              <w:pStyle w:val="Compact"/>
            </w:pPr>
            <w:r>
              <w:t xml:space="preserve">Hold the band</w:t>
            </w:r>
          </w:p>
        </w:tc>
      </w:tr>
      <w:tr>
        <w:tc>
          <w:tcPr/>
          <w:p>
            <w:pPr>
              <w:pStyle w:val="Compact"/>
            </w:pPr>
            <w:r>
              <w:t xml:space="preserve">Three consecutive</w:t>
            </w:r>
            <w:r>
              <w:t xml:space="preserve"> </w:t>
            </w:r>
            <w:r>
              <w:rPr>
                <w:b/>
                <w:bCs/>
              </w:rPr>
              <w:t xml:space="preserve">verified</w:t>
            </w:r>
            <w:r>
              <w:t xml:space="preserve"> </w:t>
            </w:r>
            <w:r>
              <w:t xml:space="preserve">clean sessions, each at least 80% of prescribed minutes</w:t>
            </w:r>
          </w:p>
        </w:tc>
        <w:tc>
          <w:tcPr/>
          <w:p>
            <w:pPr>
              <w:pStyle w:val="Compact"/>
            </w:pPr>
            <w:r>
              <w:t xml:space="preserve">Tolerance improving, on verified evidence only</w:t>
            </w:r>
          </w:p>
        </w:tc>
        <w:tc>
          <w:tcPr/>
          <w:p>
            <w:pPr>
              <w:pStyle w:val="Compact"/>
            </w:pPr>
            <w:r>
              <w:t xml:space="preserve">Advance ceiling +5 bpm, capped at the measured HRt</w:t>
            </w:r>
          </w:p>
        </w:tc>
      </w:tr>
      <w:tr>
        <w:tc>
          <w:tcPr/>
          <w:p>
            <w:pPr>
              <w:pStyle w:val="Compact"/>
            </w:pPr>
            <w:r>
              <w:t xml:space="preserve">Ceiling has reached the measured HRt</w:t>
            </w:r>
          </w:p>
        </w:tc>
        <w:tc>
          <w:tcPr/>
          <w:p>
            <w:pPr>
              <w:pStyle w:val="Compact"/>
            </w:pPr>
            <w:r>
              <w:t xml:space="preserve">Ceiling cap</w:t>
            </w:r>
          </w:p>
        </w:tc>
        <w:tc>
          <w:tcPr/>
          <w:p>
            <w:pPr>
              <w:pStyle w:val="Compact"/>
            </w:pPr>
            <w:r>
              <w:t xml:space="preserve">Propose re-test; never advance past the measurement</w:t>
            </w:r>
          </w:p>
        </w:tc>
      </w:tr>
    </w:tbl>
    <w:p>
      <w:r>
        <w:pict>
          <v:rect style="width:0;height:1.5pt" o:hralign="center" o:hrstd="t" o:hr="t"/>
        </w:pict>
      </w:r>
    </w:p>
    <w:bookmarkEnd w:id="17"/>
    <w:bookmarkStart w:id="18" w:name="scope-limitations-and-evidence-gaps"/>
    <w:p>
      <w:pPr>
        <w:pStyle w:val="Heading2"/>
      </w:pPr>
      <w:r>
        <w:t xml:space="preserve">7. Scope, limitations, and evidence gaps</w:t>
      </w:r>
    </w:p>
    <w:p>
      <w:pPr>
        <w:pStyle w:val="FirstParagraph"/>
      </w:pPr>
      <w:r>
        <w:rPr>
          <w:b/>
          <w:bCs/>
        </w:rPr>
        <w:t xml:space="preserve">Scope: delivery and verification, not efficacy.</w:t>
      </w:r>
      <w:r>
        <w:t xml:space="preserve"> </w:t>
      </w:r>
      <w:r>
        <w:t xml:space="preserve">This is a delivery framework. It standardises faithful delivery of an established prescription. It does not establish a clinical outcome, and</w:t>
      </w:r>
      <w:r>
        <w:t xml:space="preserve"> </w:t>
      </w:r>
      <w:r>
        <w:rPr>
          <w:b/>
          <w:bCs/>
        </w:rPr>
        <w:t xml:space="preserve">no effectiveness claim of any kind is made for the software</w:t>
      </w:r>
      <w:r>
        <w:t xml:space="preserve">. Whether digital delivery improves outcomes over conventional paper prescription is an entirely open empirical question that this paper does not address and on which the author holds no data. The underlying treatment evidence is strongest in adolescents with acute sport-related concussion [5,6]; adults and persistent-symptom populations are supported but less strongly.</w:t>
      </w:r>
    </w:p>
    <w:p>
      <w:pPr>
        <w:pStyle w:val="BodyText"/>
      </w:pPr>
      <w:r>
        <w:rPr>
          <w:b/>
          <w:bCs/>
        </w:rPr>
        <w:t xml:space="preserve">The home-administered graded test is unvalidated.</w:t>
      </w:r>
      <w:r>
        <w:t xml:space="preserve"> </w:t>
      </w:r>
      <w:r>
        <w:t xml:space="preserve">Concurrent validity of the home-administered graded ramp against the clinician-administered, in-clinic Buffalo Concussion Treadmill Test has not been established. This is the single most consequential open question in the framework, because the entire measured-threshold rationale depends on the measurement being trustworthy. It is the subject of a separate, prospectively registered method-comparison study (Bland-Altman agreement and intraclass correlation, stratified by heart-rate source provenance), which requires full human-research ethics review and is out of scope here. Until that study reports,</w:t>
      </w:r>
      <w:r>
        <w:t xml:space="preserve"> </w:t>
      </w:r>
      <w:r>
        <w:t xml:space="preserve">“we measure the threshold”</w:t>
      </w:r>
      <w:r>
        <w:t xml:space="preserve"> </w:t>
      </w:r>
      <w:r>
        <w:t xml:space="preserve">should be read as a claim about the</w:t>
      </w:r>
      <w:r>
        <w:t xml:space="preserve"> </w:t>
      </w:r>
      <w:r>
        <w:rPr>
          <w:i/>
          <w:iCs/>
        </w:rPr>
        <w:t xml:space="preserve">construct being measured</w:t>
      </w:r>
      <w:r>
        <w:t xml:space="preserve">, not as a claim that a home test measures it as accurately as the clinic reference standard.</w:t>
      </w:r>
    </w:p>
    <w:p>
      <w:pPr>
        <w:pStyle w:val="BodyText"/>
      </w:pPr>
      <w:r>
        <w:rPr>
          <w:b/>
          <w:bCs/>
        </w:rPr>
        <w:t xml:space="preserve">Workload is unquantified.</w:t>
      </w:r>
      <w:r>
        <w:t xml:space="preserve"> </w:t>
      </w:r>
      <w:r>
        <w:t xml:space="preserve">As stated in Stage 2, the graded ramp is delivered as standardised per-minute step-up</w:t>
      </w:r>
      <w:r>
        <w:t xml:space="preserve"> </w:t>
      </w:r>
      <w:r>
        <w:rPr>
          <w:i/>
          <w:iCs/>
        </w:rPr>
        <w:t xml:space="preserve">prompts</w:t>
      </w:r>
      <w:r>
        <w:t xml:space="preserve">, not as a quantified Balke protocol. No speed, gradient, or power value is set or recorded. Consequently: the external workload at which a threshold occurred is unknown; the ramp rate is not standardised across patients, across equipment, or across serial tests within the same patient; and serial HRt comparisons carry an unquantified confounding from ramp-rate variability. A clinician should treat the serial HRt trajectory as informative but not as a controlled repeated measure in the way a clinic treadmill protocol would be.</w:t>
      </w:r>
    </w:p>
    <w:p>
      <w:pPr>
        <w:pStyle w:val="BodyText"/>
      </w:pPr>
      <w:r>
        <w:rPr>
          <w:b/>
          <w:bCs/>
        </w:rPr>
        <w:t xml:space="preserve">Perceived exertion is not captured as a curve.</w:t>
      </w:r>
      <w:r>
        <w:t xml:space="preserve"> </w:t>
      </w:r>
      <w:r>
        <w:t xml:space="preserve">The workflow records an exhaustion marker as a single end-of-test determination rather than a per-minute Borg rating. A clinician accustomed to reading the RPE trajectory alongside heart rate and symptoms will not find one here.</w:t>
      </w:r>
    </w:p>
    <w:p>
      <w:pPr>
        <w:pStyle w:val="BodyText"/>
      </w:pPr>
      <w:r>
        <w:rPr>
          <w:b/>
          <w:bCs/>
        </w:rPr>
        <w:t xml:space="preserve">Termination type does not gate classification.</w:t>
      </w:r>
      <w:r>
        <w:t xml:space="preserve"> </w:t>
      </w:r>
      <w:r>
        <w:t xml:space="preserve">As detailed in Stage 2, an early voluntary stop, a test reaching the 20-stage maximum, and a genuine volitional exhaustion all classify as</w:t>
      </w:r>
      <w:r>
        <w:t xml:space="preserve"> </w:t>
      </w:r>
      <w:r>
        <w:rPr>
          <w:i/>
          <w:iCs/>
        </w:rPr>
        <w:t xml:space="preserve">no-intolerance</w:t>
      </w:r>
      <w:r>
        <w:t xml:space="preserve"> </w:t>
      </w:r>
      <w:r>
        <w:t xml:space="preserve">when no 3 or more-point rise occurred. Because a no-intolerance re-test raises the clearance-review flag, an under-exerted test can produce a spuriously reassuring signal. Mitigations - mandatory clinician review and sign-off, and server-side re-derivation from the raw stages - reduce but do not eliminate this. Tightening the classification to require evidence of adequate exertion is a known and unaddressed improvement.</w:t>
      </w:r>
    </w:p>
    <w:p>
      <w:pPr>
        <w:pStyle w:val="BodyText"/>
      </w:pPr>
      <w:r>
        <w:rPr>
          <w:b/>
          <w:bCs/>
        </w:rPr>
        <w:t xml:space="preserve">Only one arm of the prognostic criterion is operative.</w:t>
      </w:r>
      <w:r>
        <w:t xml:space="preserve"> </w:t>
      </w:r>
      <w:r>
        <w:t xml:space="preserve">The published prolonged-recovery criterion combines an absolute HRt &lt;135 bpm with a blunted heart-rate response (threshold minus resting no more than 50 bpm) [12]. No resting heart rate is captured in the current workflow, so only the absolute criterion can fire. The composite Haider criterion is</w:t>
      </w:r>
      <w:r>
        <w:t xml:space="preserve"> </w:t>
      </w:r>
      <w:r>
        <w:rPr>
          <w:i/>
          <w:iCs/>
        </w:rPr>
        <w:t xml:space="preserve">not</w:t>
      </w:r>
      <w:r>
        <w:t xml:space="preserve"> </w:t>
      </w:r>
      <w:r>
        <w:t xml:space="preserve">applied, and the flag should not be described as though it were.</w:t>
      </w:r>
    </w:p>
    <w:p>
      <w:pPr>
        <w:pStyle w:val="BodyText"/>
      </w:pPr>
      <w:r>
        <w:rPr>
          <w:b/>
          <w:bCs/>
        </w:rPr>
        <w:t xml:space="preserve">There is no validated severity-adjusted starting dose.</w:t>
      </w:r>
      <w:r>
        <w:t xml:space="preserve"> </w:t>
      </w:r>
      <w:r>
        <w:t xml:space="preserve">The percentage-of-HRt band is the only individualisation the evidence supports. A more cautious starting point for a highly symptomatic patient - a shorter first session, or starting at the low end of the band - is clinician judgement, and the workflow deliberately does not present it as evidence-derived. Deriving and validating a severity-adjusted starting dose is a distinct research question.</w:t>
      </w:r>
    </w:p>
    <w:p>
      <w:pPr>
        <w:pStyle w:val="BodyText"/>
      </w:pPr>
      <w:r>
        <w:rPr>
          <w:b/>
          <w:bCs/>
        </w:rPr>
        <w:t xml:space="preserve">The trials specify no next-day symptom-contingent rule.</w:t>
      </w:r>
      <w:r>
        <w:t xml:space="preserve"> </w:t>
      </w:r>
      <w:r>
        <w:t xml:space="preserve">The workflow records a next-day flare flag and acts on it, but the trials did not prescribe a specific</w:t>
      </w:r>
      <w:r>
        <w:t xml:space="preserve"> </w:t>
      </w:r>
      <w:r>
        <w:t xml:space="preserve">“if next-day symptoms, then X”</w:t>
      </w:r>
      <w:r>
        <w:t xml:space="preserve"> </w:t>
      </w:r>
      <w:r>
        <w:t xml:space="preserve">dose adjustment. The reduce-don’t-rest response is drawn from the general management principle [11], not from a trial-specified next-day algorithm.</w:t>
      </w:r>
    </w:p>
    <w:p>
      <w:pPr>
        <w:pStyle w:val="BodyText"/>
      </w:pPr>
      <w:r>
        <w:rPr>
          <w:b/>
          <w:bCs/>
        </w:rPr>
        <w:t xml:space="preserve">There is no published protocol for a large or delayed flare.</w:t>
      </w:r>
      <w:r>
        <w:t xml:space="preserve"> </w:t>
      </w:r>
      <w:r>
        <w:t xml:space="preserve">Management of a substantial or late-onset symptom spike, as distinct from the transient tolerated worsening the consensus permits [4], is not specified in the literature. The workflow routes such events to clinician review rather than encoding an unvalidated automated response - with one exception, disclosed next.</w:t>
      </w:r>
    </w:p>
    <w:p>
      <w:pPr>
        <w:pStyle w:val="BodyText"/>
      </w:pPr>
      <w:r>
        <w:rPr>
          <w:b/>
          <w:bCs/>
        </w:rPr>
        <w:t xml:space="preserve">Digital conservatisms are design choices, not evidence.</w:t>
      </w:r>
      <w:r>
        <w:t xml:space="preserve"> </w:t>
      </w:r>
      <w:r>
        <w:t xml:space="preserve">The following are decisions of this workflow, not parameters any trial specifies: the requirement for a</w:t>
      </w:r>
      <w:r>
        <w:t xml:space="preserve"> </w:t>
      </w:r>
      <w:r>
        <w:rPr>
          <w:i/>
          <w:iCs/>
        </w:rPr>
        <w:t xml:space="preserve">run</w:t>
      </w:r>
      <w:r>
        <w:t xml:space="preserve"> </w:t>
      </w:r>
      <w:r>
        <w:t xml:space="preserve">of three clean sessions before an advance; the requirement that those sessions be live-verified; the 80%-of-prescribed-minutes completion gate; the specific 5 bpm progression increment; the two-consecutive-flares rest trigger, which is a deliberate departure from the reduce-don’t-rest principle for repeated day-over-day provocation, a scenario the trials do not cover; and the 48-hour re-test spacing. They are stated as design decisions and should not be cited as findings.</w:t>
      </w:r>
    </w:p>
    <w:p>
      <w:pPr>
        <w:pStyle w:val="BodyText"/>
      </w:pPr>
      <w:r>
        <w:rPr>
          <w:b/>
          <w:bCs/>
        </w:rPr>
        <w:t xml:space="preserve">No washout interval is specified.</w:t>
      </w:r>
      <w:r>
        <w:t xml:space="preserve"> </w:t>
      </w:r>
      <w:r>
        <w:t xml:space="preserve">The evidence does not define an interval between the threshold test and the first training session; the framework leaves this to clinician timing.</w:t>
      </w:r>
    </w:p>
    <w:p>
      <w:pPr>
        <w:pStyle w:val="BodyText"/>
      </w:pPr>
      <w:r>
        <w:rPr>
          <w:b/>
          <w:bCs/>
        </w:rPr>
        <w:t xml:space="preserve">Regulatory scope, with its honest bound.</w:t>
      </w:r>
      <w:r>
        <w:t xml:space="preserve"> </w:t>
      </w:r>
      <w:r>
        <w:t xml:space="preserve">This framework describes a</w:t>
      </w:r>
      <w:r>
        <w:t xml:space="preserve"> </w:t>
      </w:r>
      <w:r>
        <w:rPr>
          <w:b/>
          <w:bCs/>
        </w:rPr>
        <w:t xml:space="preserve">clinician-directed rehabilitation-assistance and monitoring tool, not a diagnostic or treatment medical device</w:t>
      </w:r>
      <w:r>
        <w:t xml:space="preserve">. The clinician makes every clinical decision - appropriateness, interpretation, band, progression, clearance - and the software executes, paces, monitors, and records a protocol the clinician selected and can override. The intended primary user is a registered exercise physiologist working from a diagnosis already made, which is what makes the graded test a rehabilitation baseline measure rather than a diagnostic provocative test (§2.2). This is the basis for positioning the tool within the clinical-decision-support carve-out (FDA 21st Century Cures Act §3060; TGA clinical-decision-support exclusion).</w:t>
      </w:r>
      <w:r>
        <w:t xml:space="preserve"> </w:t>
      </w:r>
      <w:r>
        <w:rPr>
          <w:b/>
          <w:bCs/>
        </w:rPr>
        <w:t xml:space="preserve">This positioning reduces but does not guarantee non-device status</w:t>
      </w:r>
      <w:r>
        <w:t xml:space="preserve"> </w:t>
      </w:r>
      <w:r>
        <w:t xml:space="preserve">- classification follows claims and intended use, and the provocative element of graded testing is a genuine residual exposure independent of how the band is computed. A software-as-a-medical-device scoping opinion should be obtained before launch.</w:t>
      </w:r>
    </w:p>
    <w:p>
      <w:r>
        <w:pict>
          <v:rect style="width:0;height:1.5pt" o:hralign="center" o:hrstd="t" o:hr="t"/>
        </w:pic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2-4267-0451"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2-4267-04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2026-07-20T04:44:34Z</dcterms:created>
  <dcterms:modified xsi:type="dcterms:W3CDTF">2026-07-20T04:44:34Z</dcterms:modified>
</cp:coreProperties>
</file>

<file path=docProps/custom.xml><?xml version="1.0" encoding="utf-8"?>
<Properties xmlns="http://schemas.openxmlformats.org/officeDocument/2006/custom-properties" xmlns:vt="http://schemas.openxmlformats.org/officeDocument/2006/docPropsVTypes"/>
</file>