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c55ca701956a0e4254780c4cab1b6a45a28518"/>
    <w:p>
      <w:pPr>
        <w:pStyle w:val="Heading1"/>
      </w:pPr>
      <w:r>
        <w:t xml:space="preserve">Delivering sub-symptom-threshold aerobic exercise after concussion: a clinician-directed protocol from measured heart-rate threshold to graded return</w:t>
      </w:r>
    </w:p>
    <w:p>
      <w:pPr>
        <w:pStyle w:val="FirstParagraph"/>
      </w:pPr>
      <w:r>
        <w:rPr>
          <w:b/>
          <w:bCs/>
        </w:rPr>
        <w:t xml:space="preserve">Zac Lewis</w:t>
      </w:r>
    </w:p>
    <w:p>
      <w:pPr>
        <w:pStyle w:val="BodyText"/>
      </w:pPr>
      <w:r>
        <w:t xml:space="preserve">Concussion Education Australia Pty Ltd, Australia. ORCID: 0009-0002-4267-0451</w:t>
      </w:r>
    </w:p>
    <w:p>
      <w:pPr>
        <w:pStyle w:val="BodyText"/>
      </w:pPr>
      <w:r>
        <w:rPr>
          <w:b/>
          <w:bCs/>
        </w:rPr>
        <w:t xml:space="preserve">Corresponding author:</w:t>
      </w:r>
      <w:r>
        <w:t xml:space="preserve"> </w:t>
      </w:r>
      <w:r>
        <w:t xml:space="preserve">Zac Lewis, zac@concussion-education-australia.com</w:t>
      </w:r>
    </w:p>
    <w:p>
      <w:pPr>
        <w:pStyle w:val="BodyText"/>
      </w:pPr>
      <w:r>
        <w:rPr>
          <w:b/>
          <w:bCs/>
        </w:rPr>
        <w:t xml:space="preserve">Protocol type:</w:t>
      </w:r>
      <w:r>
        <w:t xml:space="preserve"> </w:t>
      </w:r>
      <w:r>
        <w:t xml:space="preserve">Clinical delivery protocol. This is a procedure to follow. It is not a trial protocol and not an effectiveness study.</w:t>
      </w:r>
    </w:p>
    <w:p>
      <w:pPr>
        <w:pStyle w:val="BodyText"/>
      </w:pPr>
      <w:r>
        <w:rPr>
          <w:b/>
          <w:bCs/>
        </w:rPr>
        <w:t xml:space="preserve">Keywords:</w:t>
      </w:r>
      <w:r>
        <w:t xml:space="preserve"> </w:t>
      </w:r>
      <w:r>
        <w:t xml:space="preserve">concussion; mild traumatic brain injury; sub-symptom-threshold aerobic exercise; Buffalo Concussion Treadmill Test; heart-rate threshold; exercise intolerance; exercise physiology; return to sport; return to learn</w:t>
      </w:r>
    </w:p>
    <w:p>
      <w:r>
        <w:pict>
          <v:rect style="width:0;height:1.5pt" o:hralign="center" o:hrstd="t" o:hr="t"/>
        </w:pict>
      </w:r>
    </w:p>
    <w:bookmarkStart w:id="9" w:name="why-this-protocol-exists"/>
    <w:p>
      <w:pPr>
        <w:pStyle w:val="Heading2"/>
      </w:pPr>
      <w:r>
        <w:t xml:space="preserve">Why this protocol exists</w:t>
      </w:r>
    </w:p>
    <w:p>
      <w:pPr>
        <w:pStyle w:val="FirstParagraph"/>
      </w:pPr>
      <w:r>
        <w:t xml:space="preserve">The 6th International Consensus Statement on Concussion in Sport (Amsterdam 2022, published 2023) made sub-symptom-threshold aerobic exercise a first-line treatment rather than an optional adjunct: relative rest for 24 to 48 hours, then early prescribed aerobic activity dosed below the intensity that provokes symptoms, tolerating a transient symptom increase of no more than 2 points on a 0 to 10 scale that settles within about an hour (Patricios et al., 2023). Critically, the dose is anchored to an individually MEASURED heart-rate threshold, not to an age-predicted formula.</w:t>
      </w:r>
    </w:p>
    <w:p>
      <w:pPr>
        <w:pStyle w:val="BodyText"/>
      </w:pPr>
      <w:r>
        <w:t xml:space="preserve">The pivotal randomised trial supports this. One hundred and three adolescents aged 13 to 18 years were randomised within 10 days of injury to individualised sub-threshold aerobic exercise or to a placebo-like stretching programme. Median recovery was 13 days (IQR 10 to 18.5) in the exercise group versus 17 days (IQR 13 to 23) in the stretching group, P = .009 (Leddy et al., JAMA Pediatrics 2019). A second independent randomised trial subsequently reported reduced incidence of persistent post-concussive symptoms with early targeted heart-rate exercise (Leddy et al., 2021).</w:t>
      </w:r>
    </w:p>
    <w:p>
      <w:pPr>
        <w:pStyle w:val="BodyText"/>
      </w:pPr>
      <w:r>
        <w:t xml:space="preserve">Delivering it faithfully requires four things a standard rehabilitation prescription does not usually include: a graded exertion test to measure this patient's symptom-provoking heart rate; an individualised training band derived from that measured number; monitored sessions performed between clinic visits rather than in them; and progression decided by re-testing the threshold, not by time elapsed. This protocol sets out how to do each of those, in order, and states plainly where the evidence is silent.</w:t>
      </w:r>
    </w:p>
    <w:p>
      <w:r>
        <w:pict>
          <v:rect style="width:0;height:1.5pt" o:hralign="center" o:hrstd="t" o:hr="t"/>
        </w:pict>
      </w:r>
    </w:p>
    <w:bookmarkEnd w:id="9"/>
    <w:bookmarkStart w:id="10" w:name="before-you-start"/>
    <w:p>
      <w:pPr>
        <w:pStyle w:val="Heading2"/>
      </w:pPr>
      <w:r>
        <w:t xml:space="preserve">Before you start</w:t>
      </w:r>
    </w:p>
    <w:p>
      <w:pPr>
        <w:pStyle w:val="FirstParagraph"/>
      </w:pPr>
      <w:r>
        <w:rPr>
          <w:b/>
          <w:bCs/>
        </w:rPr>
        <w:t xml:space="preserve">Who runs this.</w:t>
      </w:r>
      <w:r>
        <w:t xml:space="preserve"> </w:t>
      </w:r>
      <w:r>
        <w:t xml:space="preserve">A registered clinician with exercise-prescription scope: the intended primary user is an ESSA-accredited exercise physiologist, or equivalently scoped clinician, working from a diagnosis already made by a general practitioner or sports physician and from an existing clearance for exercise rehabilitation. In that context the graded test is a rehabilitation baseline measure answering "at what intensity can this patient train now", not a diagnostic provocative test. You confirm appropriateness, interpret the test, own the prescription, and make every clearance decision. You direct but are not present for every session: the patient executes at home unsupervised and you review at the next contact, so the stop rules below have to travel with the patient.</w:t>
      </w:r>
    </w:p>
    <w:p>
      <w:pPr>
        <w:pStyle w:val="BodyText"/>
      </w:pPr>
      <w:r>
        <w:rPr>
          <w:b/>
          <w:bCs/>
        </w:rPr>
        <w:t xml:space="preserve">What you need.</w:t>
      </w:r>
    </w:p>
    <w:p>
      <w:pPr>
        <w:pStyle w:val="Compact"/>
        <w:numPr>
          <w:ilvl w:val="0"/>
          <w:numId w:val="1001"/>
        </w:numPr>
      </w:pPr>
      <w:r>
        <w:t xml:space="preserve">A means of grading exertion in one-minute steps: treadmill, stationary bike, or a step or walking route where the patient can increase effort on cue.</w:t>
      </w:r>
    </w:p>
    <w:p>
      <w:pPr>
        <w:pStyle w:val="Compact"/>
        <w:numPr>
          <w:ilvl w:val="0"/>
          <w:numId w:val="1001"/>
        </w:numPr>
      </w:pPr>
      <w:r>
        <w:t xml:space="preserve">A continuous heart-rate source. A chest strap or wrist wearable broadcasting standard Bluetooth heart rate is the reference source and the only source that can support verified dose progression. Manual pulse entry is usable for safety monitoring but can never be verified.</w:t>
      </w:r>
    </w:p>
    <w:p>
      <w:pPr>
        <w:pStyle w:val="Compact"/>
        <w:numPr>
          <w:ilvl w:val="0"/>
          <w:numId w:val="1001"/>
        </w:numPr>
      </w:pPr>
      <w:r>
        <w:t xml:space="preserve">A 0 to 10 symptom severity scale and the standard post-concussion symptom inventory.</w:t>
      </w:r>
    </w:p>
    <w:p>
      <w:pPr>
        <w:pStyle w:val="Compact"/>
        <w:numPr>
          <w:ilvl w:val="0"/>
          <w:numId w:val="1001"/>
        </w:numPr>
      </w:pPr>
      <w:r>
        <w:t xml:space="preserve">A timer with a one-minute interval alert.</w:t>
      </w:r>
    </w:p>
    <w:p>
      <w:pPr>
        <w:pStyle w:val="Compact"/>
        <w:numPr>
          <w:ilvl w:val="0"/>
          <w:numId w:val="1001"/>
        </w:numPr>
      </w:pPr>
      <w:r>
        <w:t xml:space="preserve">A means of recording each session and returning that record to you between visits (see Stage 4).</w:t>
      </w:r>
    </w:p>
    <w:p>
      <w:pPr>
        <w:pStyle w:val="FirstParagraph"/>
      </w:pPr>
      <w:r>
        <w:t xml:space="preserve">Do not proceed to any exertion until Stage 1 is complete.</w:t>
      </w:r>
    </w:p>
    <w:p>
      <w:r>
        <w:pict>
          <v:rect style="width:0;height:1.5pt" o:hralign="center" o:hrstd="t" o:hr="t"/>
        </w:pict>
      </w:r>
    </w:p>
    <w:bookmarkEnd w:id="10"/>
    <w:bookmarkStart w:id="11" w:name="stage-1---baseline-and-safety-screen"/>
    <w:p>
      <w:pPr>
        <w:pStyle w:val="Heading2"/>
      </w:pPr>
      <w:r>
        <w:t xml:space="preserve">Stage 1 - Baseline and safety screen</w:t>
      </w:r>
    </w:p>
    <w:p>
      <w:pPr>
        <w:pStyle w:val="FirstParagraph"/>
      </w:pPr>
      <w:r>
        <w:rPr>
          <w:b/>
          <w:bCs/>
        </w:rPr>
        <w:t xml:space="preserve">What you do.</w:t>
      </w:r>
    </w:p>
    <w:p>
      <w:pPr>
        <w:pStyle w:val="Compact"/>
        <w:numPr>
          <w:ilvl w:val="0"/>
          <w:numId w:val="1002"/>
        </w:numPr>
      </w:pPr>
      <w:r>
        <w:t xml:space="preserve">Have the patient select, from the standard post-concussion symptom inventory, the symptoms they actually experience. You will ask about those symptoms specifically during the test.</w:t>
      </w:r>
    </w:p>
    <w:p>
      <w:pPr>
        <w:pStyle w:val="Compact"/>
        <w:numPr>
          <w:ilvl w:val="0"/>
          <w:numId w:val="1002"/>
        </w:numPr>
      </w:pPr>
      <w:r>
        <w:t xml:space="preserve">Screen for emergency red flags: severe or worsening headache, repeated vomiting, seizure, focal weakness or numbness, slurred speech, increasing confusion or drowsiness, loss of consciousness. Any positive finding stops the test before it starts and routes the patient to urgent medical review. Do not test again until a clinician has reviewed the patient and cleared them to resume.</w:t>
      </w:r>
    </w:p>
    <w:p>
      <w:pPr>
        <w:pStyle w:val="Compact"/>
        <w:numPr>
          <w:ilvl w:val="0"/>
          <w:numId w:val="1002"/>
        </w:numPr>
      </w:pPr>
      <w:r>
        <w:t xml:space="preserve">Record a 0 to 10 resting symptom score immediately before the test. This is the reference value for the whole test. If the resting score is 8 or more out of 10, do not test. Today is not a test day.</w:t>
      </w:r>
    </w:p>
    <w:p>
      <w:pPr>
        <w:pStyle w:val="Compact"/>
        <w:numPr>
          <w:ilvl w:val="0"/>
          <w:numId w:val="1002"/>
        </w:numPr>
      </w:pPr>
      <w:r>
        <w:t xml:space="preserve">Fit and pair the heart-rate source. Confirm you are seeing a live reading before starting.</w:t>
      </w:r>
    </w:p>
    <w:p>
      <w:pPr>
        <w:pStyle w:val="Compact"/>
        <w:numPr>
          <w:ilvl w:val="0"/>
          <w:numId w:val="1002"/>
        </w:numPr>
      </w:pPr>
      <w:r>
        <w:t xml:space="preserve">If this is not the first test, apply the spacing rule: no more than one graded test per calendar day, ever, and a minimum of 48 hours between tests unless you specifically direct otherwise or the patient's band was just reduced.</w:t>
      </w:r>
    </w:p>
    <w:p>
      <w:pPr>
        <w:pStyle w:val="FirstParagraph"/>
      </w:pPr>
      <w:r>
        <w:rPr>
          <w:b/>
          <w:bCs/>
        </w:rPr>
        <w:t xml:space="preserve">What you record.</w:t>
      </w:r>
      <w:r>
        <w:t xml:space="preserve"> </w:t>
      </w:r>
      <w:r>
        <w:t xml:space="preserve">Selected symptoms, red-flag screen result, resting symptom score, heart-rate source, date and time.</w:t>
      </w:r>
    </w:p>
    <w:p>
      <w:pPr>
        <w:pStyle w:val="BodyText"/>
      </w:pPr>
      <w:r>
        <w:rPr>
          <w:b/>
          <w:bCs/>
        </w:rPr>
        <w:t xml:space="preserve">What decides the next step.</w:t>
      </w:r>
      <w:r>
        <w:t xml:space="preserve"> </w:t>
      </w:r>
      <w:r>
        <w:t xml:space="preserve">Any red flag, or a resting symptom score of 8 or more, means no test. Otherwise proceed to Stage 2.</w:t>
      </w:r>
    </w:p>
    <w:p>
      <w:r>
        <w:pict>
          <v:rect style="width:0;height:1.5pt" o:hralign="center" o:hrstd="t" o:hr="t"/>
        </w:pict>
      </w:r>
    </w:p>
    <w:bookmarkEnd w:id="11"/>
    <w:bookmarkStart w:id="12" w:name="X3a9f555de84452f5b94877868e017eba3c64ff4"/>
    <w:p>
      <w:pPr>
        <w:pStyle w:val="Heading2"/>
      </w:pPr>
      <w:r>
        <w:t xml:space="preserve">Stage 2 - Graded ramp to a measured heart-rate threshold</w:t>
      </w:r>
    </w:p>
    <w:p>
      <w:pPr>
        <w:pStyle w:val="FirstParagraph"/>
      </w:pPr>
      <w:r>
        <w:rPr>
          <w:b/>
          <w:bCs/>
        </w:rPr>
        <w:t xml:space="preserve">What you do.</w:t>
      </w:r>
      <w:r>
        <w:t xml:space="preserve"> </w:t>
      </w:r>
      <w:r>
        <w:t xml:space="preserve">Run an operator-executed graded ramp with standardised per-minute step-up prompts, modelled on the ordinal structure of the Buffalo Concussion Treadmill Test (Leddy and Willer, 2013). Stages are one minute long, to a maximum of 20 stages. At each one-minute boundary, instruct the patient to increase the workload by one increment: for the first fifteen minutes, increase the incline one notch; after that, hold the incline and increase speed instead. Record the modality (treadmill, bike, walk, other) for your notes; it does not change how you read the test.</w:t>
      </w:r>
    </w:p>
    <w:p>
      <w:pPr>
        <w:pStyle w:val="BodyText"/>
      </w:pPr>
      <w:r>
        <w:rPr>
          <w:b/>
          <w:bCs/>
        </w:rPr>
        <w:t xml:space="preserve">Be aware of what this ramp is not.</w:t>
      </w:r>
      <w:r>
        <w:t xml:space="preserve"> </w:t>
      </w:r>
      <w:r>
        <w:t xml:space="preserve">You are delivering the ordinal SHAPE of the Buffalo ramp, not a quantified Balke protocol. No speed, gradient, or power value is set, verified, or recorded here, and the magnitude of "one notch" is not standardised across patients, equipment, or serial tests. The workload is therefore unquantified and unrecorded; the only exposure variables you capture are elapsed minutes and the physiological and symptom response. This is a real limitation of the described procedure and it affects how you read serial results (see Limitations).</w:t>
      </w:r>
    </w:p>
    <w:p>
      <w:pPr>
        <w:pStyle w:val="BodyText"/>
      </w:pPr>
      <w:r>
        <w:rPr>
          <w:b/>
          <w:bCs/>
        </w:rPr>
        <w:t xml:space="preserve">What you record each minute.</w:t>
      </w:r>
    </w:p>
    <w:p>
      <w:pPr>
        <w:pStyle w:val="Compact"/>
        <w:numPr>
          <w:ilvl w:val="0"/>
          <w:numId w:val="1003"/>
        </w:numPr>
      </w:pPr>
      <w:r>
        <w:t xml:space="preserve">Heart rate at the end of the stage.</w:t>
      </w:r>
    </w:p>
    <w:p>
      <w:pPr>
        <w:pStyle w:val="Compact"/>
        <w:numPr>
          <w:ilvl w:val="0"/>
          <w:numId w:val="1003"/>
        </w:numPr>
      </w:pPr>
      <w:r>
        <w:t xml:space="preserve">A 0 to 10 overall symptom severity score.</w:t>
      </w:r>
    </w:p>
    <w:p>
      <w:pPr>
        <w:pStyle w:val="Compact"/>
        <w:numPr>
          <w:ilvl w:val="0"/>
          <w:numId w:val="1003"/>
        </w:numPr>
      </w:pPr>
      <w:r>
        <w:t xml:space="preserve">Which of the patient's pre-selected symptoms they are reporting.</w:t>
      </w:r>
    </w:p>
    <w:p>
      <w:pPr>
        <w:pStyle w:val="FirstParagraph"/>
      </w:pPr>
      <w:r>
        <w:t xml:space="preserve">Do not record a per-minute rate of perceived exertion. Instead, capture exhaustion as a single end-of-test marker: if the patient declares they have reached their limit, mark the test exhaustion-limited (equivalent to a Borg 6 to 20 rating above 17) and log the current stage as final.</w:t>
      </w:r>
    </w:p>
    <w:p>
      <w:pPr>
        <w:pStyle w:val="BodyText"/>
      </w:pPr>
      <w:r>
        <w:rPr>
          <w:b/>
          <w:bCs/>
        </w:rPr>
        <w:t xml:space="preserve">How you find the threshold.</w:t>
      </w:r>
      <w:r>
        <w:t xml:space="preserve"> </w:t>
      </w:r>
      <w:r>
        <w:t xml:space="preserve">The heart-rate threshold, HRt, is the heart rate recorded at the first stage at which the symptom score rises 3 points or more above the resting baseline. That is the validated provocation criterion (Leddy and Willer, 2013). Note the deliberate distinction from the 2-point within-session stop rule of Stages 3 and 4: different numbers, different purposes, do not conflate them.</w:t>
      </w:r>
    </w:p>
    <w:p>
      <w:pPr>
        <w:pStyle w:val="BodyText"/>
      </w:pPr>
      <w:r>
        <w:rPr>
          <w:b/>
          <w:bCs/>
        </w:rPr>
        <w:t xml:space="preserve">How you terminate.</w:t>
      </w:r>
      <w:r>
        <w:t xml:space="preserve"> </w:t>
      </w:r>
      <w:r>
        <w:t xml:space="preserve">The test ends on any one of: a symptom rise of 3 points or more, the patient declaring exhaustion, completing 20 stages, or a red flag.</w:t>
      </w:r>
    </w:p>
    <w:p>
      <w:pPr>
        <w:pStyle w:val="BodyText"/>
      </w:pPr>
      <w:r>
        <w:rPr>
          <w:b/>
          <w:bCs/>
        </w:rPr>
        <w:t xml:space="preserve">How you classify.</w:t>
      </w:r>
    </w:p>
    <w:p>
      <w:pPr>
        <w:pStyle w:val="Compact"/>
        <w:numPr>
          <w:ilvl w:val="0"/>
          <w:numId w:val="1004"/>
        </w:numPr>
      </w:pPr>
      <w:r>
        <w:rPr>
          <w:b/>
          <w:bCs/>
        </w:rPr>
        <w:t xml:space="preserve">Physiologic.</w:t>
      </w:r>
      <w:r>
        <w:t xml:space="preserve"> </w:t>
      </w:r>
      <w:r>
        <w:t xml:space="preserve">A rise of 3 points or more occurred. You have an HRt. Proceed to Stage 3.</w:t>
      </w:r>
    </w:p>
    <w:p>
      <w:pPr>
        <w:pStyle w:val="Compact"/>
        <w:numPr>
          <w:ilvl w:val="0"/>
          <w:numId w:val="1004"/>
        </w:numPr>
      </w:pPr>
      <w:r>
        <w:rPr>
          <w:b/>
          <w:bCs/>
        </w:rPr>
        <w:t xml:space="preserve">Red flag.</w:t>
      </w:r>
      <w:r>
        <w:t xml:space="preserve"> </w:t>
      </w:r>
      <w:r>
        <w:t xml:space="preserve">The test was halted for a warning symptom. Do not derive an HRt from an unsafe stop. Refer urgently.</w:t>
      </w:r>
    </w:p>
    <w:p>
      <w:pPr>
        <w:pStyle w:val="Compact"/>
        <w:numPr>
          <w:ilvl w:val="0"/>
          <w:numId w:val="1004"/>
        </w:numPr>
      </w:pPr>
      <w:r>
        <w:rPr>
          <w:b/>
          <w:bCs/>
        </w:rPr>
        <w:t xml:space="preserve">No intolerance.</w:t>
      </w:r>
      <w:r>
        <w:t xml:space="preserve"> </w:t>
      </w:r>
      <w:r>
        <w:t xml:space="preserve">No rise of 3 points or more occurred. On a first test, this suggests symptoms are unlikely to be driven by exercise intolerance, and you should redirect the workup (cervicogenic, vestibular, mood). On a re-test, it is the recovery signal.</w:t>
      </w:r>
    </w:p>
    <w:p>
      <w:pPr>
        <w:pStyle w:val="FirstParagraph"/>
      </w:pPr>
      <w:r>
        <w:rPr>
          <w:b/>
          <w:bCs/>
        </w:rPr>
        <w:t xml:space="preserve">A limitation you must hold in mind when classifying.</w:t>
      </w:r>
      <w:r>
        <w:t xml:space="preserve"> </w:t>
      </w:r>
      <w:r>
        <w:t xml:space="preserve">Termination type does not gate the no-intolerance classification. A test the patient stopped early of their own accord, a test that ran to the 20-stage maximum, and a test terminated at genuine volitional exhaustion all classify identically as no intolerance, because the rule is simply the absence of a 3-point rise. Since a no-intolerance result on a re-test is what raises the clearance-review flag, an under-exerted test can produce a spuriously reassuring result. Two things mitigate this and neither eliminates it: the result is a review flag only, requiring a clinician to inspect the stage table and sign off before it carries clearance meaning; and where the test is recorded electronically, the receiving server independently re-derives the interpretation and HRt from the raw per-stage data rather than trusting the client. Before treating a no-intolerance result as evidence of recovered tolerance, inspect the stage count, the peak heart rate, and the exhaustion marker.</w:t>
      </w:r>
    </w:p>
    <w:p>
      <w:pPr>
        <w:pStyle w:val="BodyText"/>
      </w:pPr>
      <w:r>
        <w:rPr>
          <w:b/>
          <w:bCs/>
        </w:rPr>
        <w:t xml:space="preserve">One prognostic observation to record.</w:t>
      </w:r>
      <w:r>
        <w:t xml:space="preserve"> </w:t>
      </w:r>
      <w:r>
        <w:t xml:space="preserve">An absolute HRt below 135 bpm at presentation is associated with prolonged recovery beyond 30 days (Haider et al., 2019). Record it as a prognostic signal, but do not let it change the starting dose: no published rule adjusts the dose for severity of exercise intolerance, so that judgement stays with you.</w:t>
      </w:r>
    </w:p>
    <w:p>
      <w:pPr>
        <w:pStyle w:val="BodyText"/>
      </w:pPr>
      <w:r>
        <w:rPr>
          <w:b/>
          <w:bCs/>
        </w:rPr>
        <w:t xml:space="preserve">What decides the next step.</w:t>
      </w:r>
      <w:r>
        <w:t xml:space="preserve"> </w:t>
      </w:r>
      <w:r>
        <w:t xml:space="preserve">A physiologic result gives you an HRt and takes you to Stage 3. A red flag takes you to urgent referral. No intolerance on a first test redirects the workup; on a re-test it takes you to Stage 5.</w:t>
      </w:r>
    </w:p>
    <w:p>
      <w:r>
        <w:pict>
          <v:rect style="width:0;height:1.5pt" o:hralign="center" o:hrstd="t" o:hr="t"/>
        </w:pict>
      </w:r>
    </w:p>
    <w:bookmarkEnd w:id="12"/>
    <w:bookmarkStart w:id="13" w:name="stage-3---set-the-individualised-band"/>
    <w:p>
      <w:pPr>
        <w:pStyle w:val="Heading2"/>
      </w:pPr>
      <w:r>
        <w:t xml:space="preserve">Stage 3 - Set the individualised band</w:t>
      </w:r>
    </w:p>
    <w:p>
      <w:pPr>
        <w:pStyle w:val="FirstParagraph"/>
      </w:pPr>
      <w:r>
        <w:rPr>
          <w:b/>
          <w:bCs/>
        </w:rPr>
        <w:t xml:space="preserve">What you do.</w:t>
      </w:r>
      <w:r>
        <w:t xml:space="preserve"> </w:t>
      </w:r>
      <w:r>
        <w:t xml:space="preserve">Take the prescription directly from the literature. Do not ramp, interpolate, or severity-adjust it.</w:t>
      </w:r>
    </w:p>
    <w:p>
      <w:pPr>
        <w:pStyle w:val="Compact"/>
        <w:numPr>
          <w:ilvl w:val="0"/>
          <w:numId w:val="1005"/>
        </w:numPr>
      </w:pPr>
      <w:r>
        <w:rPr>
          <w:b/>
          <w:bCs/>
        </w:rPr>
        <w:t xml:space="preserve">Intensity.</w:t>
      </w:r>
      <w:r>
        <w:t xml:space="preserve"> </w:t>
      </w:r>
      <w:r>
        <w:t xml:space="preserve">Set the training band at 80 to 90 percent of the measured HRt, each bound rounded to the nearest bpm. The 80 percent figure was the intensity used in the pivotal trial (Leddy et al., 2019); the 80 to 90 percent band is the operational range in the practice literature (Leddy et al., 2021; Haider et al., 2021). The upper bound is a do-not-exceed ceiling. The lower bound guarantees a therapeutic stimulus. Apply no floor and no clamp: a low measured HRt gives a correspondingly low absolute band, and that gentleness is the individualisation the evidence supports.</w:t>
      </w:r>
    </w:p>
    <w:p>
      <w:pPr>
        <w:pStyle w:val="Compact"/>
        <w:numPr>
          <w:ilvl w:val="0"/>
          <w:numId w:val="1005"/>
        </w:numPr>
      </w:pPr>
      <w:r>
        <w:rPr>
          <w:b/>
          <w:bCs/>
        </w:rPr>
        <w:t xml:space="preserve">Duration.</w:t>
      </w:r>
      <w:r>
        <w:t xml:space="preserve"> </w:t>
      </w:r>
      <w:r>
        <w:t xml:space="preserve">20 minutes per session, fixed from day one. Do not lengthen sessions over the programme. This is a common clinical error: you progress by heart rate, not by adding minutes (Leddy et al., 2021).</w:t>
      </w:r>
    </w:p>
    <w:p>
      <w:pPr>
        <w:pStyle w:val="Compact"/>
        <w:numPr>
          <w:ilvl w:val="0"/>
          <w:numId w:val="1005"/>
        </w:numPr>
      </w:pPr>
      <w:r>
        <w:rPr>
          <w:b/>
          <w:bCs/>
        </w:rPr>
        <w:t xml:space="preserve">Frequency.</w:t>
      </w:r>
      <w:r>
        <w:t xml:space="preserve"> </w:t>
      </w:r>
      <w:r>
        <w:t xml:space="preserve">Most days. Prescribe 6 days per week, sitting inside the 5 to 7 days per week range used in the trials and practice literature. Schedule no rest days.</w:t>
      </w:r>
    </w:p>
    <w:p>
      <w:pPr>
        <w:pStyle w:val="Compact"/>
        <w:numPr>
          <w:ilvl w:val="0"/>
          <w:numId w:val="1005"/>
        </w:numPr>
      </w:pPr>
      <w:r>
        <w:rPr>
          <w:b/>
          <w:bCs/>
        </w:rPr>
        <w:t xml:space="preserve">Within-session stop rule.</w:t>
      </w:r>
      <w:r>
        <w:t xml:space="preserve"> </w:t>
      </w:r>
      <w:r>
        <w:t xml:space="preserve">Stop the session if symptoms rise 2 points or more above the pre-session score on the 0 to 10 scale (Leddy et al., 2019), consistent with the consensus tolerance band (Patricios et al., 2023). This 2-point training threshold is deliberately lower than, and distinct from, the 3-point diagnostic threshold of Stage 2.</w:t>
      </w:r>
    </w:p>
    <w:p>
      <w:pPr>
        <w:pStyle w:val="FirstParagraph"/>
      </w:pPr>
      <w:r>
        <w:rPr>
          <w:b/>
          <w:bCs/>
        </w:rPr>
        <w:t xml:space="preserve">What you give the patient.</w:t>
      </w:r>
      <w:r>
        <w:t xml:space="preserve"> </w:t>
      </w:r>
      <w:r>
        <w:t xml:space="preserve">A plain-language prescription plus the two band numbers in bpm, and an explicit statement of the stop rule.</w:t>
      </w:r>
    </w:p>
    <w:p>
      <w:pPr>
        <w:pStyle w:val="BodyText"/>
      </w:pPr>
      <w:r>
        <w:rPr>
          <w:b/>
          <w:bCs/>
        </w:rPr>
        <w:t xml:space="preserve">Framing that matters clinically.</w:t>
      </w:r>
      <w:r>
        <w:t xml:space="preserve"> </w:t>
      </w:r>
      <w:r>
        <w:t xml:space="preserve">This band is a therapeutic TARGET, not an exertion alarm: in-zone is the goal, under is under-dosing, over is the state to avoid. Do not carry across a pacing-and-avoidance mindset from myalgic encephalomyelitis or long COVID management. In the concussion exercise-intolerance phenotype, recovery depends on a graded aerobic stimulus, and treating the band as a ceiling to hide under withholds the treatment.</w:t>
      </w:r>
    </w:p>
    <w:p>
      <w:r>
        <w:pict>
          <v:rect style="width:0;height:1.5pt" o:hralign="center" o:hrstd="t" o:hr="t"/>
        </w:pict>
      </w:r>
    </w:p>
    <w:bookmarkEnd w:id="13"/>
    <w:bookmarkStart w:id="15" w:name="stage-4---between-visit-sessions"/>
    <w:p>
      <w:pPr>
        <w:pStyle w:val="Heading2"/>
      </w:pPr>
      <w:r>
        <w:t xml:space="preserve">Stage 4 - Between-visit sessions</w:t>
      </w:r>
    </w:p>
    <w:p>
      <w:pPr>
        <w:pStyle w:val="FirstParagraph"/>
      </w:pPr>
      <w:r>
        <w:rPr>
          <w:b/>
          <w:bCs/>
        </w:rPr>
        <w:t xml:space="preserve">What you do.</w:t>
      </w:r>
      <w:r>
        <w:t xml:space="preserve"> </w:t>
      </w:r>
      <w:r>
        <w:t xml:space="preserve">The patient performs the prescribed session at home, most days, without you present. On each session:</w:t>
      </w:r>
    </w:p>
    <w:p>
      <w:pPr>
        <w:pStyle w:val="Compact"/>
        <w:numPr>
          <w:ilvl w:val="0"/>
          <w:numId w:val="1006"/>
        </w:numPr>
      </w:pPr>
      <w:r>
        <w:t xml:space="preserve">Record a pre-session 0 to 10 symptom score.</w:t>
      </w:r>
    </w:p>
    <w:p>
      <w:pPr>
        <w:pStyle w:val="Compact"/>
        <w:numPr>
          <w:ilvl w:val="0"/>
          <w:numId w:val="1006"/>
        </w:numPr>
      </w:pPr>
      <w:r>
        <w:t xml:space="preserve">Exercise with the heart rate held inside the band for 20 minutes, watching the live reading against the band.</w:t>
      </w:r>
    </w:p>
    <w:p>
      <w:pPr>
        <w:pStyle w:val="Compact"/>
        <w:numPr>
          <w:ilvl w:val="0"/>
          <w:numId w:val="1006"/>
        </w:numPr>
      </w:pPr>
      <w:r>
        <w:t xml:space="preserve">Stop immediately if symptoms rise 2 points or more above the pre-session score.</w:t>
      </w:r>
    </w:p>
    <w:p>
      <w:pPr>
        <w:pStyle w:val="Compact"/>
        <w:numPr>
          <w:ilvl w:val="0"/>
          <w:numId w:val="1006"/>
        </w:numPr>
      </w:pPr>
      <w:r>
        <w:t xml:space="preserve">Record an immediate post-session self-report.</w:t>
      </w:r>
    </w:p>
    <w:p>
      <w:pPr>
        <w:pStyle w:val="Compact"/>
        <w:numPr>
          <w:ilvl w:val="0"/>
          <w:numId w:val="1006"/>
        </w:numPr>
      </w:pPr>
      <w:r>
        <w:t xml:space="preserve">Answer a next-day check-in: better, same, or worse.</w:t>
      </w:r>
    </w:p>
    <w:p>
      <w:pPr>
        <w:pStyle w:val="FirstParagraph"/>
      </w:pPr>
      <w:r>
        <w:rPr>
          <w:b/>
          <w:bCs/>
        </w:rPr>
        <w:t xml:space="preserve">What must be recorded each session.</w:t>
      </w:r>
      <w:r>
        <w:t xml:space="preserve"> </w:t>
      </w:r>
      <w:r>
        <w:t xml:space="preserve">Average and peak heart rate; ACTUAL elapsed minutes completed, never the prescribed target; pre-session and peak symptom scores; whether the session ended on the stop rule; the immediate post-session report; the next-day check-in; time spent in the band; and the provenance of the heart-rate data.</w:t>
      </w:r>
    </w:p>
    <w:bookmarkStart w:id="14" w:name="what-this-stage-requires"/>
    <w:p>
      <w:pPr>
        <w:pStyle w:val="Heading3"/>
      </w:pPr>
      <w:r>
        <w:t xml:space="preserve">What this stage requires</w:t>
      </w:r>
    </w:p>
    <w:p>
      <w:pPr>
        <w:pStyle w:val="FirstParagraph"/>
      </w:pPr>
      <w:r>
        <w:t xml:space="preserve">State these as requirements of the protocol, not preferences.</w:t>
      </w:r>
    </w:p>
    <w:p>
      <w:pPr>
        <w:pStyle w:val="Compact"/>
        <w:numPr>
          <w:ilvl w:val="0"/>
          <w:numId w:val="1007"/>
        </w:numPr>
      </w:pPr>
      <w:r>
        <w:t xml:space="preserve">The dose is approximately 20 minutes per day, most days, for the duration of the episode. It is not a small number of supervised sessions.</w:t>
      </w:r>
    </w:p>
    <w:p>
      <w:pPr>
        <w:pStyle w:val="Compact"/>
        <w:numPr>
          <w:ilvl w:val="0"/>
          <w:numId w:val="1007"/>
        </w:numPr>
      </w:pPr>
      <w:r>
        <w:t xml:space="preserve">It is delivered BETWEEN clinic visits. Almost none of the therapeutic exposure happens in front of you.</w:t>
      </w:r>
    </w:p>
    <w:p>
      <w:pPr>
        <w:pStyle w:val="Compact"/>
        <w:numPr>
          <w:ilvl w:val="0"/>
          <w:numId w:val="1007"/>
        </w:numPr>
      </w:pPr>
      <w:r>
        <w:t xml:space="preserve">It must be held inside a heart-rate band the patient cannot feel. Perceived effort does not track the symptom-provoking threshold, which is why the threshold is measured rather than estimated.</w:t>
      </w:r>
    </w:p>
    <w:p>
      <w:pPr>
        <w:pStyle w:val="Compact"/>
        <w:numPr>
          <w:ilvl w:val="0"/>
          <w:numId w:val="1007"/>
        </w:numPr>
      </w:pPr>
      <w:r>
        <w:t xml:space="preserve">A symptom rise of 2 points or more must stop the session in the moment it occurs, not at the next appointment.</w:t>
      </w:r>
    </w:p>
    <w:p>
      <w:pPr>
        <w:pStyle w:val="Compact"/>
        <w:numPr>
          <w:ilvl w:val="0"/>
          <w:numId w:val="1007"/>
        </w:numPr>
      </w:pPr>
      <w:r>
        <w:t xml:space="preserve">Progression requires knowing whether prior sessions were actually completed, and actually completed in-band. Self-report at the next visit does not supply this.</w:t>
      </w:r>
    </w:p>
    <w:p>
      <w:pPr>
        <w:pStyle w:val="FirstParagraph"/>
      </w:pPr>
      <w:r>
        <w:t xml:space="preserve">It follows that the protocol requires continuous heart-rate measurement during unsupervised home sessions, and a record of that measurement returning to the prescriber before the next progression decision. Concretely: a wearable broadcasting standard Bluetooth heart rate, and some means of recording each session and returning the session data to the clinician.</w:t>
      </w:r>
    </w:p>
    <w:p>
      <w:pPr>
        <w:pStyle w:val="BodyText"/>
      </w:pPr>
      <w:r>
        <w:t xml:space="preserve">A paper prescription cannot satisfy these requirements. It can carry the numbers, but it cannot observe adherence and it cannot enforce the band during the session.</w:t>
      </w:r>
    </w:p>
    <w:p>
      <w:pPr>
        <w:pStyle w:val="BodyText"/>
      </w:pPr>
      <w:r>
        <w:rPr>
          <w:b/>
          <w:bCs/>
        </w:rPr>
        <w:t xml:space="preserve">A note on data provenance.</w:t>
      </w:r>
      <w:r>
        <w:t xml:space="preserve"> </w:t>
      </w:r>
      <w:r>
        <w:t xml:space="preserve">Only sessions whose heart rate was verified against a live wearable stream, with at least 80 percent of readings matching a fresh live feed at the time of logging, count as evidence for ADVANCING the dose; manual and camera-derived readings can never be verified and can never raise the band. But EVERY session, verified or not, counts as evidence for a rest or regress decision. Safety evidence is never gated on provenance; only dose escalation is.</w:t>
      </w:r>
    </w:p>
    <w:p>
      <w:pPr>
        <w:pStyle w:val="BodyText"/>
      </w:pPr>
      <w:r>
        <w:t xml:space="preserve">If the heart-rate signal is lost mid-session, the displayed value must be cleared rather than held at the last-known number: a stale number against a do-not-exceed ceiling is a safety hazard. Camera-based pulse estimation is a resting spot-check only and must not be used during exertion, where motion artefact makes it unreliable.</w:t>
      </w:r>
    </w:p>
    <w:p>
      <w:pPr>
        <w:pStyle w:val="BodyText"/>
      </w:pPr>
      <w:r>
        <w:t xml:space="preserve">Where the patient is operating self-guided, with no clinic code and no prescriber attached, nothing is transmitted and all data remains local to the device. That configuration cannot support the progression decisions below.</w:t>
      </w:r>
    </w:p>
    <w:p>
      <w:pPr>
        <w:pStyle w:val="BodyText"/>
      </w:pPr>
      <w:r>
        <w:rPr>
          <w:b/>
          <w:bCs/>
        </w:rPr>
        <w:t xml:space="preserve">What decides the next step.</w:t>
      </w:r>
      <w:r>
        <w:t xml:space="preserve"> </w:t>
      </w:r>
      <w:r>
        <w:t xml:space="preserve">Apply the progression rules in the order given below, at each review.</w:t>
      </w:r>
    </w:p>
    <w:p>
      <w:r>
        <w:pict>
          <v:rect style="width:0;height:1.5pt" o:hralign="center" o:hrstd="t" o:hr="t"/>
        </w:pict>
      </w:r>
    </w:p>
    <w:bookmarkEnd w:id="14"/>
    <w:bookmarkEnd w:id="15"/>
    <w:bookmarkStart w:id="16" w:name="stage-5---re-test-and-graded-return"/>
    <w:p>
      <w:pPr>
        <w:pStyle w:val="Heading2"/>
      </w:pPr>
      <w:r>
        <w:t xml:space="preserve">Stage 5 - Re-test and graded return</w:t>
      </w:r>
    </w:p>
    <w:p>
      <w:pPr>
        <w:pStyle w:val="FirstParagraph"/>
      </w:pPr>
      <w:r>
        <w:rPr>
          <w:b/>
          <w:bCs/>
        </w:rPr>
        <w:t xml:space="preserve">What you do.</w:t>
      </w:r>
      <w:r>
        <w:t xml:space="preserve"> </w:t>
      </w:r>
      <w:r>
        <w:t xml:space="preserve">Re-test the threshold: weekly in the trial protocols, one to two weekly in clinical practice. The 48-hour minimum spacing and the one-test-per-calendar-day rule from Stage 1 both still apply, as does the red-flag lock.</w:t>
      </w:r>
    </w:p>
    <w:p>
      <w:pPr>
        <w:pStyle w:val="BodyText"/>
      </w:pPr>
      <w:r>
        <w:t xml:space="preserve">Read the serial HRt values as a recovery trajectory. The graded test is reliable as a repeated measure (Leddy et al., 2011), which is what licenses reading it serially rather than as unrelated snapshots.</w:t>
      </w:r>
    </w:p>
    <w:p>
      <w:pPr>
        <w:pStyle w:val="BodyText"/>
      </w:pPr>
      <w:r>
        <w:rPr>
          <w:b/>
          <w:bCs/>
        </w:rPr>
        <w:t xml:space="preserve">When a re-test returns no intolerance.</w:t>
      </w:r>
      <w:r>
        <w:t xml:space="preserve"> </w:t>
      </w:r>
      <w:r>
        <w:t xml:space="preserve">Treat it as a clearance-REVIEW flag, not a clearance. Given the classification limitation in Stage 2, inspect the stage table, the peak heart rate, and the exhaustion marker before concluding that tolerance has recovered.</w:t>
      </w:r>
    </w:p>
    <w:p>
      <w:pPr>
        <w:pStyle w:val="BodyText"/>
      </w:pPr>
      <w:r>
        <w:rPr>
          <w:b/>
          <w:bCs/>
        </w:rPr>
        <w:t xml:space="preserve">Integration with return to sport and learn.</w:t>
      </w:r>
      <w:r>
        <w:t xml:space="preserve"> </w:t>
      </w:r>
      <w:r>
        <w:t xml:space="preserve">Clearance to progress aerobic load feeds into the consensus graded return-to-sport and return-to-learn strategy (Patricios et al., 2023): stepwise, symptom-limited progression through activity stages under the same tolerance rule. That remains your decision. This protocol supplies objective aerobic-tolerance evidence. It does not clear an athlete for contact.</w:t>
      </w:r>
    </w:p>
    <w:p>
      <w:r>
        <w:pict>
          <v:rect style="width:0;height:1.5pt" o:hralign="center" o:hrstd="t" o:hr="t"/>
        </w:pict>
      </w:r>
    </w:p>
    <w:bookmarkEnd w:id="16"/>
    <w:bookmarkStart w:id="17" w:name="decision-rules"/>
    <w:p>
      <w:pPr>
        <w:pStyle w:val="Heading2"/>
      </w:pPr>
      <w:r>
        <w:t xml:space="preserve">Decision rules</w:t>
      </w:r>
    </w:p>
    <w:p>
      <w:pPr>
        <w:pStyle w:val="FirstParagraph"/>
      </w:pPr>
      <w:r>
        <w:rPr>
          <w:b/>
          <w:bCs/>
        </w:rPr>
        <w:t xml:space="preserve">Testing gates.</w:t>
      </w:r>
      <w:r>
        <w:t xml:space="preserve"> </w:t>
      </w:r>
      <w:r>
        <w:t xml:space="preserve">Any red flag: halt, no HRt, urgent medical review, no further testing until a clinician clears the patient. Resting symptom score 8 or more out of 10: do not test today. Less than 48 hours since the last test, or the same calendar day: do not test. The 48 hours is overridable by clinician direction or a just-reduced band; the one-per-day rule is absolute.</w:t>
      </w:r>
    </w:p>
    <w:p>
      <w:pPr>
        <w:pStyle w:val="BodyText"/>
      </w:pPr>
      <w:r>
        <w:rPr>
          <w:b/>
          <w:bCs/>
        </w:rPr>
        <w:t xml:space="preserve">Progressing the dose.</w:t>
      </w:r>
      <w:r>
        <w:t xml:space="preserve"> </w:t>
      </w:r>
      <w:r>
        <w:t xml:space="preserve">Evaluate in this order and stop at the first rule that matches.</w:t>
      </w:r>
    </w:p>
    <w:p>
      <w:pPr>
        <w:pStyle w:val="Compact"/>
        <w:numPr>
          <w:ilvl w:val="0"/>
          <w:numId w:val="1008"/>
        </w:numPr>
      </w:pPr>
      <w:r>
        <w:rPr>
          <w:b/>
          <w:bCs/>
        </w:rPr>
        <w:t xml:space="preserve">No session history.</w:t>
      </w:r>
      <w:r>
        <w:t xml:space="preserve"> </w:t>
      </w:r>
      <w:r>
        <w:t xml:space="preserve">Hold the band.</w:t>
      </w:r>
    </w:p>
    <w:p>
      <w:pPr>
        <w:pStyle w:val="Compact"/>
        <w:numPr>
          <w:ilvl w:val="0"/>
          <w:numId w:val="1008"/>
        </w:numPr>
      </w:pPr>
      <w:r>
        <w:rPr>
          <w:b/>
          <w:bCs/>
        </w:rPr>
        <w:t xml:space="preserve">Two consecutive flaring sessions.</w:t>
      </w:r>
      <w:r>
        <w:t xml:space="preserve"> </w:t>
      </w:r>
      <w:r>
        <w:t xml:space="preserve">Rest. Take a rest day, reduce the ceiling by 5 bpm floored at the band's lower bound, and check in with the clinician before resuming. This is a design decision of this protocol, not a trial-specified rule, and it departs from the reduce-do-not-rest principle for the specific case of repeated day-over-day provocation.</w:t>
      </w:r>
    </w:p>
    <w:p>
      <w:pPr>
        <w:pStyle w:val="Compact"/>
        <w:numPr>
          <w:ilvl w:val="0"/>
          <w:numId w:val="1008"/>
        </w:numPr>
      </w:pPr>
      <w:r>
        <w:rPr>
          <w:b/>
          <w:bCs/>
        </w:rPr>
        <w:t xml:space="preserve">Two or more flaring sessions within the last three.</w:t>
      </w:r>
      <w:r>
        <w:t xml:space="preserve"> </w:t>
      </w:r>
      <w:r>
        <w:t xml:space="preserve">Regress: reduce the ceiling by 5 bpm and continue daily exercise at the reduced intensity.</w:t>
      </w:r>
    </w:p>
    <w:p>
      <w:pPr>
        <w:pStyle w:val="Compact"/>
        <w:numPr>
          <w:ilvl w:val="0"/>
          <w:numId w:val="1008"/>
        </w:numPr>
      </w:pPr>
      <w:r>
        <w:rPr>
          <w:b/>
          <w:bCs/>
        </w:rPr>
        <w:t xml:space="preserve">Any single recent flare.</w:t>
      </w:r>
      <w:r>
        <w:t xml:space="preserve"> </w:t>
      </w:r>
      <w:r>
        <w:t xml:space="preserve">Hold the band until a clean run is achieved.</w:t>
      </w:r>
    </w:p>
    <w:p>
      <w:pPr>
        <w:pStyle w:val="Compact"/>
        <w:numPr>
          <w:ilvl w:val="0"/>
          <w:numId w:val="1008"/>
        </w:numPr>
      </w:pPr>
      <w:r>
        <w:rPr>
          <w:b/>
          <w:bCs/>
        </w:rPr>
        <w:t xml:space="preserve">Otherwise, advance</w:t>
      </w:r>
      <w:r>
        <w:t xml:space="preserve"> </w:t>
      </w:r>
      <w:r>
        <w:t xml:space="preserve">if and only if the last three VERIFIED sessions were all clean AND each completed at least 80 percent of the prescribed minutes. Raise the ceiling by 5 bpm, capped at the measured HRt.</w:t>
      </w:r>
    </w:p>
    <w:p>
      <w:pPr>
        <w:pStyle w:val="Compact"/>
        <w:numPr>
          <w:ilvl w:val="0"/>
          <w:numId w:val="1008"/>
        </w:numPr>
      </w:pPr>
      <w:r>
        <w:rPr>
          <w:b/>
          <w:bCs/>
        </w:rPr>
        <w:t xml:space="preserve">At the cap,</w:t>
      </w:r>
      <w:r>
        <w:t xml:space="preserve"> </w:t>
      </w:r>
      <w:r>
        <w:t xml:space="preserve">where the ceiling has reached the measured HRt, do not advance. Propose a re-test. A fresh graded test is the only route to a higher band.</w:t>
      </w:r>
    </w:p>
    <w:p>
      <w:pPr>
        <w:pStyle w:val="FirstParagraph"/>
      </w:pPr>
      <w:r>
        <w:t xml:space="preserve">A session counts as a FLARE if the patient reported feeling worse at the next-day check-in, OR the peak symptom score rose 2 points or more above the pre-session score.</w:t>
      </w:r>
    </w:p>
    <w:p>
      <w:pPr>
        <w:pStyle w:val="BodyText"/>
      </w:pPr>
      <w:r>
        <w:t xml:space="preserve">Keep the regression window bounded to recent sessions, so an old, resolved flare cannot ratchet the ceiling down indefinitely once the patient is running clean.</w:t>
      </w:r>
    </w:p>
    <w:p>
      <w:r>
        <w:pict>
          <v:rect style="width:0;height:1.5pt" o:hralign="center" o:hrstd="t" o:hr="t"/>
        </w:pict>
      </w:r>
    </w:p>
    <w:bookmarkEnd w:id="17"/>
    <w:bookmarkStart w:id="18" w:name="limitations"/>
    <w:p>
      <w:pPr>
        <w:pStyle w:val="Heading2"/>
      </w:pPr>
      <w:r>
        <w:t xml:space="preserve">Limitations</w:t>
      </w:r>
    </w:p>
    <w:p>
      <w:pPr>
        <w:pStyle w:val="FirstParagraph"/>
      </w:pPr>
      <w:r>
        <w:rPr>
          <w:b/>
          <w:bCs/>
        </w:rPr>
        <w:t xml:space="preserve">Home administration of the graded test is unvalidated.</w:t>
      </w:r>
      <w:r>
        <w:t xml:space="preserve"> </w:t>
      </w:r>
      <w:r>
        <w:t xml:space="preserve">Concurrent validity of a home-administered graded ramp against the clinician-administered, in-clinic Buffalo Concussion Treadmill Test has not been established. This is the most consequential open question here, because the whole measured-threshold rationale depends on the measurement being trustworthy. It is the subject of a separate, prospectively registered method-comparison study. Until that reports, read "we measure the threshold" as a claim about the construct being measured, not as a claim that a home test measures it as accurately as the clinic reference standard.</w:t>
      </w:r>
    </w:p>
    <w:p>
      <w:pPr>
        <w:pStyle w:val="BodyText"/>
      </w:pPr>
      <w:r>
        <w:rPr>
          <w:b/>
          <w:bCs/>
        </w:rPr>
        <w:t xml:space="preserve">Workload is unquantified.</w:t>
      </w:r>
      <w:r>
        <w:t xml:space="preserve"> </w:t>
      </w:r>
      <w:r>
        <w:t xml:space="preserve">The ramp is standardised per-minute step-up prompts, not a quantified Balke protocol, and no speed, gradient, or power value is set or recorded. The external workload at which a threshold occurred is therefore unknown, the ramp rate is not standardised across patients, equipment, or serial tests, and serial HRt comparisons carry unquantified confounding from ramp-rate variability. Treat the serial HRt trajectory as informative but not as a controlled repeated measure.</w:t>
      </w:r>
    </w:p>
    <w:p>
      <w:pPr>
        <w:pStyle w:val="BodyText"/>
      </w:pPr>
      <w:r>
        <w:rPr>
          <w:b/>
          <w:bCs/>
        </w:rPr>
        <w:t xml:space="preserve">Perceived exertion is not captured as a curve.</w:t>
      </w:r>
      <w:r>
        <w:t xml:space="preserve"> </w:t>
      </w:r>
      <w:r>
        <w:t xml:space="preserve">A single end-of-test exhaustion marker replaces per-minute Borg ratings, so there is no RPE trajectory to read alongside heart rate and symptoms.</w:t>
      </w:r>
    </w:p>
    <w:p>
      <w:pPr>
        <w:pStyle w:val="BodyText"/>
      </w:pPr>
      <w:r>
        <w:rPr>
          <w:b/>
          <w:bCs/>
        </w:rPr>
        <w:t xml:space="preserve">Termination type does not gate classification.</w:t>
      </w:r>
      <w:r>
        <w:t xml:space="preserve"> </w:t>
      </w:r>
      <w:r>
        <w:t xml:space="preserve">As set out in Stage 2, an early voluntary stop, a 20-stage completion, and genuine volitional exhaustion all classify as no intolerance when no 3-point rise occurred, and a no-intolerance re-test is what raises the clearance-review flag. Mandatory clinician review and sign-off, and independent server-side re-derivation from the raw stage data, reduce but do not eliminate this.</w:t>
      </w:r>
    </w:p>
    <w:p>
      <w:pPr>
        <w:pStyle w:val="BodyText"/>
      </w:pPr>
      <w:r>
        <w:rPr>
          <w:b/>
          <w:bCs/>
        </w:rPr>
        <w:t xml:space="preserve">No validated severity-adjusted starting dose exists.</w:t>
      </w:r>
      <w:r>
        <w:t xml:space="preserve"> </w:t>
      </w:r>
      <w:r>
        <w:t xml:space="preserve">The percentage-of-HRt band is the only individualisation the evidence supports. A more cautious start for a highly symptomatic patient, such as a shorter first session or starting at the low end of the band, is your clinical judgement and should not be presented as evidence-derived.</w:t>
      </w:r>
    </w:p>
    <w:p>
      <w:pPr>
        <w:pStyle w:val="BodyText"/>
      </w:pPr>
      <w:r>
        <w:rPr>
          <w:b/>
          <w:bCs/>
        </w:rPr>
        <w:t xml:space="preserve">The trials specify no next-day rule.</w:t>
      </w:r>
      <w:r>
        <w:t xml:space="preserve"> </w:t>
      </w:r>
      <w:r>
        <w:t xml:space="preserve">This protocol records a next-day flare and acts on it, but no trial prescribed a specific next-day dose adjustment. The reduce-do-not-rest response derives from the general management principle (Haider et al., 2021), not from a trial-specified algorithm.</w:t>
      </w:r>
    </w:p>
    <w:p>
      <w:pPr>
        <w:pStyle w:val="BodyText"/>
      </w:pPr>
      <w:r>
        <w:rPr>
          <w:b/>
          <w:bCs/>
        </w:rPr>
        <w:t xml:space="preserve">There is no published protocol for a large or delayed flare.</w:t>
      </w:r>
      <w:r>
        <w:t xml:space="preserve"> </w:t>
      </w:r>
      <w:r>
        <w:t xml:space="preserve">Management of a substantial or late-onset symptom spike, as distinct from the transient tolerated worsening the consensus permits, is not specified in the literature. Route such events to clinician review rather than to an automated response.</w:t>
      </w:r>
    </w:p>
    <w:p>
      <w:pPr>
        <w:pStyle w:val="BodyText"/>
      </w:pPr>
      <w:r>
        <w:rPr>
          <w:b/>
          <w:bCs/>
        </w:rPr>
        <w:t xml:space="preserve">Several conservatisms here are design choices, not evidence.</w:t>
      </w:r>
      <w:r>
        <w:t xml:space="preserve"> </w:t>
      </w:r>
      <w:r>
        <w:t xml:space="preserve">The run of three clean sessions before an advance, the requirement that they be verified, the 80 percent completion gate, the 5 bpm step, the two-consecutive-flares rest trigger, and the 48-hour re-test spacing are decisions of this protocol. Do not cite them as findings. No washout interval between the threshold test and the first training session is specified in the evidence either; that timing is left to you.</w:t>
      </w:r>
    </w:p>
    <w:p>
      <w:r>
        <w:pict>
          <v:rect style="width:0;height:1.5pt" o:hralign="center" o:hrstd="t" o:hr="t"/>
        </w:pict>
      </w:r>
    </w:p>
    <w:bookmarkEnd w:id="18"/>
    <w:bookmarkStart w:id="19" w:name="declarations"/>
    <w:p>
      <w:pPr>
        <w:pStyle w:val="Heading2"/>
      </w:pPr>
      <w:r>
        <w:t xml:space="preserve">Declarations</w:t>
      </w:r>
    </w:p>
    <w:p>
      <w:pPr>
        <w:pStyle w:val="FirstParagraph"/>
      </w:pPr>
      <w:r>
        <w:rPr>
          <w:b/>
          <w:bCs/>
        </w:rPr>
        <w:t xml:space="preserve">Competing interests.</w:t>
      </w:r>
      <w:r>
        <w:t xml:space="preserve"> </w:t>
      </w:r>
      <w:r>
        <w:t xml:space="preserve">The author is the founder and a director of Concussion Education Australia Pty Ltd, which develops and commercialises software implementing this workflow and which sells concussion education to clinicians. This is a direct financial interest in the adoption of the workflow described. To limit advocacy bias, every prescription parameter and safety rule is stated with its primary source, the delivery requirements are specified generically rather than by naming any product, departures from the published clinic procedure are disclosed rather than smoothed over, and no effectiveness claim of any kind is made for any software. No other competing interests are declared.</w:t>
      </w:r>
    </w:p>
    <w:p>
      <w:pPr>
        <w:pStyle w:val="BodyText"/>
      </w:pPr>
      <w:r>
        <w:rPr>
          <w:b/>
          <w:bCs/>
        </w:rPr>
        <w:t xml:space="preserve">Efficacy.</w:t>
      </w:r>
      <w:r>
        <w:t xml:space="preserve"> </w:t>
      </w:r>
      <w:r>
        <w:t xml:space="preserve">No effectiveness claim is made for any software implementing this protocol. The scope here is delivery and verification, not efficacy. Whether digital delivery improves outcomes over conventional paper prescription is an open empirical question not addressed here.</w:t>
      </w:r>
    </w:p>
    <w:p>
      <w:pPr>
        <w:pStyle w:val="BodyText"/>
      </w:pPr>
      <w:r>
        <w:rPr>
          <w:b/>
          <w:bCs/>
        </w:rPr>
        <w:t xml:space="preserve">Funding.</w:t>
      </w:r>
      <w:r>
        <w:t xml:space="preserve"> </w:t>
      </w:r>
      <w:r>
        <w:t xml:space="preserve">No specific grant from any funding agency in the public, commercial, or not-for-profit sectors.</w:t>
      </w:r>
    </w:p>
    <w:p>
      <w:pPr>
        <w:pStyle w:val="BodyText"/>
      </w:pPr>
      <w:r>
        <w:rPr>
          <w:b/>
          <w:bCs/>
        </w:rPr>
        <w:t xml:space="preserve">Ethics approval.</w:t>
      </w:r>
      <w:r>
        <w:t xml:space="preserve"> </w:t>
      </w:r>
      <w:r>
        <w:t xml:space="preserve">Not applicable. This document describes a workflow built on published evidence; no human participant data were collected.</w:t>
      </w:r>
    </w:p>
    <w:p>
      <w:pPr>
        <w:pStyle w:val="BodyText"/>
      </w:pPr>
      <w:r>
        <w:rPr>
          <w:b/>
          <w:bCs/>
        </w:rPr>
        <w:t xml:space="preserve">Data availability.</w:t>
      </w:r>
      <w:r>
        <w:t xml:space="preserve"> </w:t>
      </w:r>
      <w:r>
        <w:t xml:space="preserve">Not applicable. No new data were generated or analysed.</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4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4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60"/>
    </w:pPr>
  </w:style>
  <w:style w:styleId="Title" w:type="paragraph">
    <w:name w:val="Title"/>
    <w:basedOn w:val="Normal"/>
    <w:next w:val="BodyText"/>
    <w:link w:val="TitleChar"/>
    <w:uiPriority w:val="10"/>
    <w:qFormat/>
    <w:rsid w:val="00A10FD9"/>
    <w:pPr>
      <w:spacing w:after="40" w:line="20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40" w:before="60"/>
      <w:jc w:val="center"/>
    </w:pPr>
    <w:rPr>
      <w:b/>
      <w:sz w:val="20"/>
      <w:szCs w:val="20"/>
    </w:rPr>
  </w:style>
  <w:style w:customStyle="1" w:styleId="Abstract" w:type="paragraph">
    <w:name w:val="Abstract"/>
    <w:basedOn w:val="Normal"/>
    <w:next w:val="BodyText"/>
    <w:qFormat/>
    <w:pPr>
      <w:keepNext/>
      <w:keepLines/>
      <w:spacing w:after="40" w:before="6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40" w:before="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40" w:before="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40" w:before="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6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6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40" w:before="6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40" w:before="6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4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4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40" w:before="6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40" w:before="6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40"/>
    </w:pPr>
    <w:rPr>
      <w:b/>
    </w:rPr>
  </w:style>
  <w:style w:customStyle="1" w:styleId="Definition" w:type="paragraph">
    <w:name w:val="Definition"/>
    <w:basedOn w:val="Normal"/>
  </w:style>
  <w:style w:styleId="Caption" w:type="paragraph">
    <w:name w:val="Caption"/>
    <w:basedOn w:val="Normal"/>
    <w:link w:val="BodyTextChar"/>
    <w:pPr>
      <w:spacing w:after="40" w:before="6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60" w:line="200"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2026-07-20T23:18:39Z</dcterms:created>
  <dcterms:modified xsi:type="dcterms:W3CDTF">2026-07-20T23:18:39Z</dcterms:modified>
</cp:coreProperties>
</file>

<file path=docProps/custom.xml><?xml version="1.0" encoding="utf-8"?>
<Properties xmlns="http://schemas.openxmlformats.org/officeDocument/2006/custom-properties" xmlns:vt="http://schemas.openxmlformats.org/officeDocument/2006/docPropsVTypes"/>
</file>