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447151babbff2d627ac7c34a1db34efa4bb305"/>
    <w:p>
      <w:pPr>
        <w:pStyle w:val="Heading1"/>
      </w:pPr>
      <w:r>
        <w:t xml:space="preserve">Sub-symptom-threshold aerobic exercise for concussion: from the Buffalo test to digital, clinician-supervised delivery — a Narrative review</w:t>
      </w:r>
    </w:p>
    <w:p>
      <w:pPr>
        <w:pStyle w:val="FirstParagraph"/>
      </w:pPr>
      <w:r>
        <w:rPr>
          <w:b/>
          <w:bCs/>
        </w:rPr>
        <w:t xml:space="preserve">Running head:</w:t>
      </w:r>
      <w:r>
        <w:t xml:space="preserve"> </w:t>
      </w:r>
      <w:r>
        <w:t xml:space="preserve">SSTAE for concussion: digital delivery</w:t>
      </w:r>
    </w:p>
    <w:p>
      <w:pPr>
        <w:pStyle w:val="BodyText"/>
      </w:pPr>
      <w:r>
        <w:rPr>
          <w:b/>
          <w:bCs/>
        </w:rPr>
        <w:t xml:space="preserve">Zac Lewis, B.Clin.Sci., M.Ost.Med.</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zac@concussion-education-australia.com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delivery is hard: the prescription depends on an individualised, invisible heart-rate ceiling being respected in every unsupervised between-visit session. This narrative review traces the paradigm shift, summarises the threshold-test and SSTAE evidence — including the more equivocal adult trial evidence — and names the implementation gap between prescription and faithful between-visit delivery. It then proposes author-framed delivery requirements: a live, verified heart-rate signal displayed against the prescribed band; hardware-agnostic sourcing;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summary-box"/>
    <w:p>
      <w:pPr>
        <w:pStyle w:val="Heading2"/>
      </w:pPr>
      <w:r>
        <w:t xml:space="preserve">Summary box</w:t>
      </w:r>
    </w:p>
    <w:p>
      <w:pPr>
        <w:pStyle w:val="FirstParagraph"/>
      </w:pPr>
      <w:r>
        <w:rPr>
          <w:b/>
          <w:bCs/>
        </w:rPr>
        <w:t xml:space="preserve">What is already known on this topic</w:t>
      </w:r>
      <w:r>
        <w:t xml:space="preserve"> </w:t>
      </w:r>
      <w:r>
        <w:t xml:space="preserve">— Sub-symptom-threshold aerobic exercise, dosed from a measured heart-rate threshold on a standardised graded test, is consensus-endorsed concussion care, and adherence to the home prescription predicts faster recovery.</w:t>
      </w:r>
    </w:p>
    <w:p>
      <w:pPr>
        <w:pStyle w:val="BodyText"/>
      </w:pPr>
      <w:r>
        <w:rPr>
          <w:b/>
          <w:bCs/>
        </w:rPr>
        <w:t xml:space="preserve">What this study adds</w:t>
      </w:r>
      <w:r>
        <w:t xml:space="preserve"> </w:t>
      </w:r>
      <w:r>
        <w:t xml:space="preserve">— It names the between-visit delivery gap — an invisible, individualised heart-rate ceiling and progression data that ordinary workflows do not capture — and proposes author-framed requirements for digital delivery: never fabricate the heart-rate signal, gate progression on verified sessions, and report structured records to the prescribing clinician.</w:t>
      </w:r>
    </w:p>
    <w:p>
      <w:pPr>
        <w:pStyle w:val="BodyText"/>
      </w:pPr>
      <w:r>
        <w:rPr>
          <w:b/>
          <w:bCs/>
        </w:rPr>
        <w:t xml:space="preserve">How this study might affect research, practice or policy</w:t>
      </w:r>
      <w:r>
        <w:t xml:space="preserve"> </w:t>
      </w:r>
      <w:r>
        <w:t xml:space="preserve">— Delivery fidelity is measurable and should be reported in future studies of exercise prescription for concussion; whether digital tools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rests partly on vendor grey literature;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Patient and public involvement.</w:t>
      </w:r>
      <w:r>
        <w:t xml:space="preserve"> </w:t>
      </w:r>
      <w:r>
        <w:t xml:space="preserve">Patients and the public were not involved in this review of published literature.</w:t>
      </w:r>
    </w:p>
    <w:p>
      <w:pPr>
        <w:pStyle w:val="BodyText"/>
      </w:pPr>
      <w:r>
        <w:rPr>
          <w:b/>
          <w:bCs/>
        </w:rPr>
        <w:t xml:space="preserve">Equity, diversity and inclusion.</w:t>
      </w:r>
      <w:r>
        <w:t xml:space="preserve"> </w:t>
      </w:r>
      <w:r>
        <w:t xml:space="preserve">The author is a single clinician; the reviewed evidence skews adolescent, sport-related and high-income, and the equity limits of digital delivery are addressed in Section 5.</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But prolonged rest has costs. Deconditioning, sleep disruption, mood disturbance, social isolation and nocebo-style symptom focus all compound the original injury, and there was never randomised evidence that strict rest shortened recovery; a randomised trial of strict rest found a higher symptom burden and slower symptom resolution than usual care [1], and in a prospective cohort of 3,063 children and adolescents, physical activity within seven days of injury was associated with a significantly lower risk of persistent symptoms at 28 days than no activity (unadjusted 24.6% vs 43.5%; propensity-adjusted absolute risk difference 11.4%) [2].</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[3]. The argument is that a meaningful proportion of post-concussion symptom burden reflects not structural injury but a disorder of physiological regulation — autonomic and cerebrovascular dysregulation that is provoked by exertion and, crucially, is responsive to a graded aerobic stimulus delivered below the provocation threshold. Correctly dosed, exercise is the treatment, not a risk.</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[4]. Exercise intolerance is common and clinically meaningful: in one exploratory cross-sectional study of 100 adults with persistent post-concussive symptoms, over 80% tested positive for exercise intolerance, and a higher symptom burden was associated with higher odds of testing positive [5]. The phenotype is thus apparently common, measurable, and the direct target of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[6] codified the shift:</w:t>
      </w:r>
    </w:p>
    <w:p>
      <w:pPr>
        <w:pStyle w:val="Compact"/>
        <w:numPr>
          <w:ilvl w:val="0"/>
          <w:numId w:val="1001"/>
        </w:numPr>
      </w:pPr>
      <w:r>
        <w:rPr>
          <w:b/>
          <w:bCs/>
        </w:rPr>
        <w:t xml:space="preserve">Relative rest for only 24–48 hours.</w:t>
      </w:r>
      <w:r>
        <w:t xml:space="preserve"> </w:t>
      </w:r>
      <w:r>
        <w:t xml:space="preserve">Light physical activity that does not more than mildly exacerbate symptoms (e.g. walking) is encouraged within the first 48 hours, provided it carries no risk of head impact.</w:t>
      </w:r>
    </w:p>
    <w:p>
      <w:pPr>
        <w:pStyle w:val="Compact"/>
        <w:numPr>
          <w:ilvl w:val="0"/>
          <w:numId w:val="1001"/>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1"/>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consensus statement’s scope is sport-related concussion. Convergent guidance exists beyond sport: the CDC guideline on paediatric mild traumatic brain injury likewise moved management away from prolonged rest toward gradual, symptom-guided activity [7], and the Ontario Neurotrauma Foundation’s paediatric living guideline carries the same direction [8].</w:t>
      </w:r>
    </w:p>
    <w:p>
      <w:pPr>
        <w:pStyle w:val="BodyText"/>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[9]. The protocol — walk at a fixed starting speed, then increase the incline by 1° each minute for 15 stages, after which the speed increases — was chosen precisely because the Balke ramp is gentle, well-validated and established as safe, under clinical supervision,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2"/>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2"/>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informative: the symptom driver is likely something other than the physiological phenotype (cervicogenic, vestibular, or mood), and the workup should redirect.</w:t>
      </w:r>
    </w:p>
    <w:p>
      <w:pPr>
        <w:pStyle w:val="Compact"/>
        <w:numPr>
          <w:ilvl w:val="0"/>
          <w:numId w:val="1002"/>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[10],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setting the dose, the threshold test forecasts recovery. In adolescents with sport-related concussion, an earlier randomised cohort from the same group found a low initial HRt strongly associated with prolonged (&gt;21-day) recovery [11], summarised later as an HRt below ~135 bpm [12],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[12]. A single test both prescribes the dose and stratifies risk, and serial HRt becomes an objective recovery trajectory.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trials, largely from the Buffalo group (Table 1).</w:t>
      </w:r>
    </w:p>
    <w:p>
      <w:pPr>
        <w:pStyle w:val="BodyText"/>
      </w:pPr>
      <w:r>
        <w:rPr>
          <w:b/>
          <w:bCs/>
        </w:rPr>
        <w:t xml:space="preserve">Origin.</w:t>
      </w:r>
      <w:r>
        <w:t xml:space="preserve"> </w:t>
      </w:r>
      <w:r>
        <w:t xml:space="preserve">A preliminary treadmill-training programme for refractory post-concussion syndrome demonstrated feasibility and symptom improvement at ~80% of the symptom-threshold heart rate [13].</w:t>
      </w:r>
    </w:p>
    <w:p>
      <w:pPr>
        <w:pStyle w:val="BodyText"/>
      </w:pPr>
      <w:r>
        <w:rPr>
          <w:b/>
          <w:bCs/>
        </w:rPr>
        <w:t xml:space="preserve">Pivotal RCT (JAMA Pediatrics, 2019).</w:t>
      </w:r>
      <w:r>
        <w:t xml:space="preserve"> </w:t>
      </w:r>
      <w:r>
        <w:t xml:space="preserve">In adolescents in the acute phase of sport-related concussion, sub-symptom-threshold aerobic exercise versus a placebo-like stretching programme accelerated recovery — median 13 versus 17 days [14].</w:t>
      </w:r>
    </w:p>
    <w:p>
      <w:pPr>
        <w:pStyle w:val="BodyText"/>
      </w:pPr>
      <w:r>
        <w:rPr>
          <w:b/>
          <w:bCs/>
        </w:rPr>
        <w:t xml:space="preserve">Multicentre extension (Lancet Child &amp; Adolescent Health, 2021).</w:t>
      </w:r>
      <w:r>
        <w:t xml:space="preserve"> </w:t>
      </w:r>
      <w:r>
        <w:t xml:space="preserve">A three-site RCT by the originating group reproduced and extended the finding: targeted-heart-rate SSTAE roughly halved the risk of persistent post-concussive symptoms (the trial’s reported hazard ratio for stretching versus aerobic exercise: 0.52, 95% CI 0.28–0.97, p=0.039) and shortened recovery, with good adherence and no adverse events [15]. Prevention of</w:t>
      </w:r>
      <w:r>
        <w:t xml:space="preserve"> </w:t>
      </w:r>
      <w:r>
        <w:rPr>
          <w:i/>
          <w:iCs/>
        </w:rPr>
        <w:t xml:space="preserve">persistence</w:t>
      </w:r>
      <w:r>
        <w:t xml:space="preserve"> </w:t>
      </w:r>
      <w:r>
        <w:t xml:space="preserve">— the costly outcome —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management over rest [16]. Systematic synthesis for the Amsterdam process concluded that early rest beyond 24–48 hours confers no benefit and that prescribed sub-symptom-threshold aerobic exercise is beneficial [17]. A separate review emphasised that the most effective method and dose of exercise, and whether early treatment can prevent persistent symptoms, remain open questions [18].</w:t>
      </w:r>
    </w:p>
    <w:p>
      <w:pPr>
        <w:pStyle w:val="BodyText"/>
      </w:pPr>
      <w:r>
        <w:rPr>
          <w:b/>
          <w:bCs/>
        </w:rPr>
        <w:t xml:space="preserve">Adults.</w:t>
      </w:r>
      <w:r>
        <w:t xml:space="preserve"> </w:t>
      </w:r>
      <w:r>
        <w:t xml:space="preserve">The randomised evidence in adults is thinner and more equivocal. In the one completed randomised trial in adults with persisting symptoms and exercise intolerance (Table 1), six weeks of sub-symptom-threshold aerobic exercise versus stretching produced no significant between-group difference in symptom burden; the programme was tolerated, and quality of life improved in some analyses [19].</w:t>
      </w:r>
    </w:p>
    <w:p>
      <w:pPr>
        <w:pStyle w:val="BodyText"/>
      </w:pPr>
      <w:r>
        <w:rPr>
          <w:b/>
          <w:bCs/>
        </w:rPr>
        <w:t xml:space="preserve">Table 1 — Key clinical trials of sub-symptom-threshold aerobic exercise discussed in this review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Design</w:t>
            </w:r>
          </w:p>
        </w:tc>
        <w:tc>
          <w:tcPr/>
          <w:p>
            <w:pPr>
              <w:pStyle w:val="Compact"/>
            </w:pPr>
            <w:r>
              <w:t xml:space="preserve">Population</w:t>
            </w:r>
          </w:p>
        </w:tc>
        <w:tc>
          <w:tcPr/>
          <w:p>
            <w:pPr>
              <w:pStyle w:val="Compact"/>
            </w:pPr>
            <w:r>
              <w:t xml:space="preserve">Intervention</w:t>
            </w:r>
          </w:p>
        </w:tc>
        <w:tc>
          <w:tcPr/>
          <w:p>
            <w:pPr>
              <w:pStyle w:val="Compact"/>
            </w:pPr>
            <w:r>
              <w:t xml:space="preserve">Comparator</w:t>
            </w:r>
          </w:p>
        </w:tc>
        <w:tc>
          <w:tcPr/>
          <w:p>
            <w:pPr>
              <w:pStyle w:val="Compact"/>
            </w:pPr>
            <w:r>
              <w:t xml:space="preserve">Key result</w:t>
            </w:r>
          </w:p>
        </w:tc>
      </w:tr>
      <w:tr>
        <w:tc>
          <w:tcPr/>
          <w:p>
            <w:pPr>
              <w:pStyle w:val="Compact"/>
            </w:pPr>
            <w:r>
              <w:t xml:space="preserve">Leddy 2010 [13]</w:t>
            </w:r>
          </w:p>
        </w:tc>
        <w:tc>
          <w:tcPr/>
          <w:p>
            <w:pPr>
              <w:pStyle w:val="Compact"/>
            </w:pPr>
            <w:r>
              <w:t xml:space="preserve">Prospective case series (uncontrolled pilot)</w:t>
            </w:r>
          </w:p>
        </w:tc>
        <w:tc>
          <w:tcPr/>
          <w:p>
            <w:pPr>
              <w:pStyle w:val="Compact"/>
            </w:pPr>
            <w:r>
              <w:t xml:space="preserve">Refractory post-concussion syndrome</w:t>
            </w:r>
          </w:p>
        </w:tc>
        <w:tc>
          <w:tcPr/>
          <w:p>
            <w:pPr>
              <w:pStyle w:val="Compact"/>
            </w:pPr>
            <w:r>
              <w:t xml:space="preserve">Treadmill training at ~80% of symptom-threshold heart rate, most days</w:t>
            </w:r>
          </w:p>
        </w:tc>
        <w:tc>
          <w:tcPr/>
          <w:p>
            <w:pPr>
              <w:pStyle w:val="Compact"/>
            </w:pPr>
            <w:r>
              <w:t xml:space="preserve">— (feasibility)</w:t>
            </w:r>
          </w:p>
        </w:tc>
        <w:tc>
          <w:tcPr/>
          <w:p>
            <w:pPr>
              <w:pStyle w:val="Compact"/>
            </w:pPr>
            <w:r>
              <w:t xml:space="preserve">Feasible; symptom improvement</w:t>
            </w:r>
          </w:p>
        </w:tc>
      </w:tr>
      <w:tr>
        <w:tc>
          <w:tcPr/>
          <w:p>
            <w:pPr>
              <w:pStyle w:val="Compact"/>
            </w:pPr>
            <w:r>
              <w:t xml:space="preserve">Leddy 2019 [14]</w:t>
            </w:r>
          </w:p>
        </w:tc>
        <w:tc>
          <w:tcPr/>
          <w:p>
            <w:pPr>
              <w:pStyle w:val="Compact"/>
            </w:pPr>
            <w:r>
              <w:t xml:space="preserve">RCT</w:t>
            </w:r>
          </w:p>
        </w:tc>
        <w:tc>
          <w:tcPr/>
          <w:p>
            <w:pPr>
              <w:pStyle w:val="Compact"/>
            </w:pPr>
            <w:r>
              <w:t xml:space="preserve">103 adolescents, acute sport-related concussion (mean ~5 days post-injury)</w:t>
            </w:r>
          </w:p>
        </w:tc>
        <w:tc>
          <w:tcPr/>
          <w:p>
            <w:pPr>
              <w:pStyle w:val="Compact"/>
            </w:pPr>
            <w:r>
              <w:t xml:space="preserve">Aerobic exercise at 80% of HRt, ~20 min/day</w:t>
            </w:r>
          </w:p>
        </w:tc>
        <w:tc>
          <w:tcPr/>
          <w:p>
            <w:pPr>
              <w:pStyle w:val="Compact"/>
            </w:pPr>
            <w:r>
              <w:t xml:space="preserve">Placebo-like stretching</w:t>
            </w:r>
          </w:p>
        </w:tc>
        <w:tc>
          <w:tcPr/>
          <w:p>
            <w:pPr>
              <w:pStyle w:val="Compact"/>
            </w:pPr>
            <w:r>
              <w:t xml:space="preserve">Median recovery 13 vs 17 days (p=0.009)</w:t>
            </w:r>
          </w:p>
        </w:tc>
      </w:tr>
      <w:tr>
        <w:tc>
          <w:tcPr/>
          <w:p>
            <w:pPr>
              <w:pStyle w:val="Compact"/>
            </w:pPr>
            <w:r>
              <w:t xml:space="preserve">Leddy 2021 [15]</w:t>
            </w:r>
          </w:p>
        </w:tc>
        <w:tc>
          <w:tcPr/>
          <w:p>
            <w:pPr>
              <w:pStyle w:val="Compact"/>
            </w:pPr>
            <w:r>
              <w:t xml:space="preserve">Multicentre RCT</w:t>
            </w:r>
          </w:p>
        </w:tc>
        <w:tc>
          <w:tcPr/>
          <w:p>
            <w:pPr>
              <w:pStyle w:val="Compact"/>
            </w:pPr>
            <w:r>
              <w:t xml:space="preserve">118 adolescents, within 10 days of injury, three sites</w:t>
            </w:r>
          </w:p>
        </w:tc>
        <w:tc>
          <w:tcPr/>
          <w:p>
            <w:pPr>
              <w:pStyle w:val="Compact"/>
            </w:pPr>
            <w:r>
              <w:t xml:space="preserve">Aerobic exercise at 90% of HRt, weekly BCTT re-test</w:t>
            </w:r>
          </w:p>
        </w:tc>
        <w:tc>
          <w:tcPr/>
          <w:p>
            <w:pPr>
              <w:pStyle w:val="Compact"/>
            </w:pPr>
            <w:r>
              <w:t xml:space="preserve">Placebo-like stretching</w:t>
            </w:r>
          </w:p>
        </w:tc>
        <w:tc>
          <w:tcPr/>
          <w:p>
            <w:pPr>
              <w:pStyle w:val="Compact"/>
            </w:pPr>
            <w:r>
              <w:t xml:space="preserve">Risk of persistent symptoms roughly halved (hazard ratio for stretching vs aerobic 0.52, 95% CI 0.28–0.97)</w:t>
            </w:r>
          </w:p>
        </w:tc>
      </w:tr>
      <w:tr>
        <w:tc>
          <w:tcPr/>
          <w:p>
            <w:pPr>
              <w:pStyle w:val="Compact"/>
            </w:pPr>
            <w:r>
              <w:t xml:space="preserve">Willer 2019 [16]</w:t>
            </w:r>
          </w:p>
        </w:tc>
        <w:tc>
          <w:tcPr/>
          <w:p>
            <w:pPr>
              <w:pStyle w:val="Compact"/>
            </w:pPr>
            <w:r>
              <w:t xml:space="preserve">Quasi-experimental (non-randomised rest cohort, compared with matched RCT arms)*</w:t>
            </w:r>
          </w:p>
        </w:tc>
        <w:tc>
          <w:tcPr/>
          <w:p>
            <w:pPr>
              <w:pStyle w:val="Compact"/>
            </w:pPr>
            <w:r>
              <w:t xml:space="preserve">Acute sport-related concussion, male and female adolescents</w:t>
            </w:r>
          </w:p>
        </w:tc>
        <w:tc>
          <w:tcPr/>
          <w:p>
            <w:pPr>
              <w:pStyle w:val="Compact"/>
            </w:pPr>
            <w:r>
              <w:t xml:space="preserve">Sub-symptom-threshold aerobic exercise</w:t>
            </w:r>
          </w:p>
        </w:tc>
        <w:tc>
          <w:tcPr/>
          <w:p>
            <w:pPr>
              <w:pStyle w:val="Compact"/>
            </w:pPr>
            <w:r>
              <w:t xml:space="preserve">Prescribed rest; placebo-like stretching</w:t>
            </w:r>
          </w:p>
        </w:tc>
        <w:tc>
          <w:tcPr/>
          <w:p>
            <w:pPr>
              <w:pStyle w:val="Compact"/>
            </w:pPr>
            <w:r>
              <w:t xml:space="preserve">Active management supported over rest</w:t>
            </w:r>
          </w:p>
        </w:tc>
      </w:tr>
      <w:tr>
        <w:tc>
          <w:tcPr/>
          <w:p>
            <w:pPr>
              <w:pStyle w:val="Compact"/>
            </w:pPr>
            <w:r>
              <w:t xml:space="preserve">Mercier 2025 [19]</w:t>
            </w:r>
          </w:p>
        </w:tc>
        <w:tc>
          <w:tcPr/>
          <w:p>
            <w:pPr>
              <w:pStyle w:val="Compact"/>
            </w:pPr>
            <w:r>
              <w:t xml:space="preserve">RCT</w:t>
            </w:r>
          </w:p>
        </w:tc>
        <w:tc>
          <w:tcPr/>
          <w:p>
            <w:pPr>
              <w:pStyle w:val="Compact"/>
            </w:pPr>
            <w:r>
              <w:t xml:space="preserve">52 adults, persisting symptoms with exercise intolerance (~2 years post-injury)</w:t>
            </w:r>
          </w:p>
        </w:tc>
        <w:tc>
          <w:tcPr/>
          <w:p>
            <w:pPr>
              <w:pStyle w:val="Compact"/>
            </w:pPr>
            <w:r>
              <w:t xml:space="preserve">6-week sub-symptom-threshold aerobic programme</w:t>
            </w:r>
          </w:p>
        </w:tc>
        <w:tc>
          <w:tcPr/>
          <w:p>
            <w:pPr>
              <w:pStyle w:val="Compact"/>
            </w:pPr>
            <w:r>
              <w:t xml:space="preserve">Stretching</w:t>
            </w:r>
          </w:p>
        </w:tc>
        <w:tc>
          <w:tcPr/>
          <w:p>
            <w:pPr>
              <w:pStyle w:val="Compact"/>
            </w:pPr>
            <w:r>
              <w:t xml:space="preserve">No significant between-group symptom-burden difference; quality of life improved in some analyses</w:t>
            </w:r>
          </w:p>
        </w:tc>
      </w:tr>
    </w:tbl>
    <w:p>
      <w:pPr>
        <w:pStyle w:val="BodyText"/>
      </w:pPr>
      <w:r>
        <w:t xml:space="preserve">*The exercise and stretching arms of Willer 2019 are the randomised participants of the 2019 RCT; the samples overlap.</w:t>
      </w:r>
    </w:p>
    <w:bookmarkEnd w:id="18"/>
    <w:bookmarkStart w:id="19" w:name="prescribing-without-a-treadmill"/>
    <w:p>
      <w:pPr>
        <w:pStyle w:val="Heading3"/>
      </w:pPr>
      <w:r>
        <w:t xml:space="preserve">2.4 Prescribing without a treadmill</w:t>
      </w:r>
    </w:p>
    <w:p>
      <w:pPr>
        <w:pStyle w:val="FirstParagraph"/>
      </w:pPr>
      <w:r>
        <w:t xml:space="preserve">Not every clinician has a treadmill and the time for a staged test with per-minute logging. The Buffalo group addressed this in two practical-management papers: one detailing how to prescribe SSTAE in the outpatient setting from an HRt [20], and one giving a standardised programme in the absence of graded exercise testing [21]. A validated cycle-ergometer alternative also exists: the Buffalo Concussion Bike Test elicits an equivalent heart rate at symptom exacerbation to the treadmill test in adolescents (135 ± 25 vs 137 ± 28 bpm) [22], extending the measured threshold to settings without a treadmill. Together these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3"/>
        </w:numPr>
      </w:pPr>
      <w:r>
        <w:rPr>
          <w:b/>
          <w:bCs/>
        </w:rPr>
        <w:t xml:space="preserve">Anchor:</w:t>
      </w:r>
      <w:r>
        <w:t xml:space="preserve"> </w:t>
      </w:r>
      <w:r>
        <w:t xml:space="preserve">HRt from a symptom-limited graded test (the validated provocation criterion is a symptom rise of ≥3 points from rest) [9].</w:t>
      </w:r>
    </w:p>
    <w:p>
      <w:pPr>
        <w:pStyle w:val="Compact"/>
        <w:numPr>
          <w:ilvl w:val="0"/>
          <w:numId w:val="1003"/>
        </w:numPr>
      </w:pPr>
      <w:r>
        <w:rPr>
          <w:b/>
          <w:bCs/>
        </w:rPr>
        <w:t xml:space="preserve">Band:</w:t>
      </w:r>
      <w:r>
        <w:t xml:space="preserve"> </w:t>
      </w:r>
      <w:r>
        <w:t xml:space="preserve">train at ~80–90% of HRt for concussion (80% in the pivotal adolescent trial; 90% in the multicentre trial) — a floor intended to preserve a training stimulus and a do-not-exceed ceiling that keeps the patient below provocation [13–15,18].</w:t>
      </w:r>
    </w:p>
    <w:p>
      <w:pPr>
        <w:pStyle w:val="Compact"/>
        <w:numPr>
          <w:ilvl w:val="0"/>
          <w:numId w:val="1003"/>
        </w:numPr>
      </w:pPr>
      <w:r>
        <w:rPr>
          <w:b/>
          <w:bCs/>
        </w:rPr>
        <w:t xml:space="preserve">Dose:</w:t>
      </w:r>
      <w:r>
        <w:t xml:space="preserve"> </w:t>
      </w:r>
      <w:r>
        <w:t xml:space="preserve">~20 minutes, most days of the week [14,15].</w:t>
      </w:r>
    </w:p>
    <w:p>
      <w:pPr>
        <w:pStyle w:val="Compact"/>
        <w:numPr>
          <w:ilvl w:val="0"/>
          <w:numId w:val="1003"/>
        </w:numPr>
      </w:pPr>
      <w:r>
        <w:rPr>
          <w:b/>
          <w:bCs/>
        </w:rPr>
        <w:t xml:space="preserve">Within-session stop rule:</w:t>
      </w:r>
      <w:r>
        <w:t xml:space="preserve"> </w:t>
      </w:r>
      <w:r>
        <w:t xml:space="preserve">stop if symptoms rise more than 2 points above pre-session — the complement of the consensus’s up-to-2-point tolerance band [6].</w:t>
      </w:r>
    </w:p>
    <w:p>
      <w:pPr>
        <w:pStyle w:val="Compact"/>
        <w:numPr>
          <w:ilvl w:val="0"/>
          <w:numId w:val="1003"/>
        </w:numPr>
      </w:pPr>
      <w:r>
        <w:rPr>
          <w:b/>
          <w:bCs/>
        </w:rPr>
        <w:t xml:space="preserve">Progression:</w:t>
      </w:r>
      <w:r>
        <w:t xml:space="preserve"> </w:t>
      </w:r>
      <w:r>
        <w:t xml:space="preserve">advance the ceiling only after clean sessions (no within-session provocation, no next-day flare); regress on repeated provocation; re-test HRt to update precisely [20,21].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The trials prescribed an individualised heart-rate ceiling and reported good adherence under clinician oversight [14,15]. In routine practice, three things break:</w:t>
      </w:r>
    </w:p>
    <w:p>
      <w:pPr>
        <w:numPr>
          <w:ilvl w:val="0"/>
          <w:numId w:val="1004"/>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under-dosing (no stimulus, slow recovery) or overshooting the ceiling (provocation, a flare, lost confidence in active rehabilitation).</w:t>
      </w:r>
    </w:p>
    <w:p>
      <w:pPr>
        <w:numPr>
          <w:ilvl w:val="0"/>
          <w:numId w:val="1004"/>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4"/>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[23]. Serial HRt — the objective recovery curve — has to date been captured mainly within research protocols and specialist programmes [14,15].</w:t>
      </w:r>
    </w:p>
    <w:p>
      <w:pPr>
        <w:pStyle w:val="FirstParagraph"/>
      </w:pPr>
      <w:r>
        <w:t xml:space="preserve">The gap is associated with an outcome cost: in a secondary analysis of randomised-trial participants, adolescents who adhered to their home aerobic prescription in the first week recovered in a median of 12 days versus 21.5 days for those who did not — and the initial degree of exercise intolerance, not symptom severity, predicted who adhered [24].</w:t>
      </w:r>
    </w:p>
    <w:p>
      <w:pPr>
        <w:pStyle w:val="BodyText"/>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[13–15], the gap analysis in Section 3, and software-safety considerations, and stated as requirements independent of any vendor or product; Section 4.2 then locates the existing tools — including, with disclosed interest, the author’s — against them. The argument is deliberately modest: the physiology is not new; what the field lacks is faithful, verifiable, monitored delivery between visits.</w:t>
      </w:r>
    </w:p>
    <w:p>
      <w:pPr>
        <w:numPr>
          <w:ilvl w:val="0"/>
          <w:numId w:val="1005"/>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[14,15] — converts an abstract bpm range into a moment-to-moment</w:t>
      </w:r>
      <w:r>
        <w:t xml:space="preserve"> </w:t>
      </w:r>
      <w:r>
        <w:t xml:space="preserve">“in zone / over / under”</w:t>
      </w:r>
      <w:r>
        <w:t xml:space="preserve"> </w:t>
      </w:r>
      <w:r>
        <w:t xml:space="preserve">signal. Whether live feedback improves real-world fidelity remains an empirical question (Section 5).</w:t>
      </w:r>
    </w:p>
    <w:p>
      <w:pPr>
        <w:numPr>
          <w:ilvl w:val="0"/>
          <w:numId w:val="1005"/>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Two limits attach to any implementation: optical heart-rate measurement degrades with motion — smartphone-camera apps show variable accuracy [25] and wrist-worn optical sensors are measurably less accurate during aerobic exercise [26] — so a phone-camera estimate should never drive a live training session; and some widely owned wrist devices do not broadcast the standard Bluetooth Heart Rate profile, so those users need a chest strap or manual entry.</w:t>
      </w:r>
    </w:p>
    <w:p>
      <w:pPr>
        <w:numPr>
          <w:ilvl w:val="0"/>
          <w:numId w:val="1005"/>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stronger rule should govern progression: only sessions live-verified against a real sensor should advance the band, and the band should never ratchet past the measured threshold — only a fresh graded re-test raises it further. Manual or unverified sessions can still count fully for safety (they can trigger a hold or regression) but should never push the ceiling up on trust alone.</w:t>
      </w:r>
    </w:p>
    <w:p>
      <w:pPr>
        <w:numPr>
          <w:ilvl w:val="0"/>
          <w:numId w:val="1005"/>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5"/>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w:t>
      </w:r>
    </w:p>
    <w:p>
      <w:pPr>
        <w:numPr>
          <w:ilvl w:val="0"/>
          <w:numId w:val="1005"/>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typically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Any novelty claim must be made against the prior art, which this review extends rather than ignores:</w:t>
      </w:r>
    </w:p>
    <w:p>
      <w:pPr>
        <w:pStyle w:val="Compact"/>
        <w:numPr>
          <w:ilvl w:val="0"/>
          <w:numId w:val="1006"/>
        </w:numPr>
      </w:pPr>
      <w:r>
        <w:t xml:space="preserve">A concussion rehabilitation app (Rhea Health, a University of Toronto spin-out) already delivers heart-rate-targeted aerobic prescription [27]. Its published protocol, however, guides users to a fixed ~60% ± 5% of age-predicted maximal heart rate (220 − age), with no graded test to individualise the threshold; individualisation is limited to in-app same/better/worse symptom feedback [28]. The cited evaluations do not report a dedicated clinician dashboard [27,28]. An RCT from the same group has likewise delivered early aerobic exercise using a progressive percentage of age-predicted maximal heart rate [29]. (Neither Rhea nor the author’s product is affiliated with the Buffalo group.)</w:t>
      </w:r>
    </w:p>
    <w:p>
      <w:pPr>
        <w:pStyle w:val="Compact"/>
        <w:numPr>
          <w:ilvl w:val="0"/>
          <w:numId w:val="1006"/>
        </w:numPr>
      </w:pPr>
      <w:r>
        <w:t xml:space="preserve">Between-visit mobile-health symptom monitoring with structured return of data to clinicians is published [30].</w:t>
      </w:r>
    </w:p>
    <w:p>
      <w:pPr>
        <w:pStyle w:val="Compact"/>
        <w:numPr>
          <w:ilvl w:val="0"/>
          <w:numId w:val="1006"/>
        </w:numPr>
      </w:pPr>
      <w:r>
        <w:t xml:space="preserve">The pivotal Buffalo trials themselves delivered individualised HRt-based home exercise with wearable heart-rate monitoring — 80% of HRt with a home heart-rate monitor [14], and a serial-HRt-updated prescription with weekly BCTT recheck [15].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6"/>
        </w:numPr>
      </w:pPr>
      <w:r>
        <w:t xml:space="preserve">A commercial concussion exercise-prescription module exists: the Complete Concussion Management Inc. (CCMI) and Wibbi partnership (announced December 2025) embeds concussion protocols in a digital home-exercise-programme platform with real-time outcome monitoring and progress tracking [31]. The published description does not, however, describe digital delivery of a serial measured-HRt curve [31].</w:t>
      </w:r>
    </w:p>
    <w:p>
      <w:pPr>
        <w:pStyle w:val="Compact"/>
        <w:numPr>
          <w:ilvl w:val="0"/>
          <w:numId w:val="1006"/>
        </w:numPr>
      </w:pPr>
      <w:r>
        <w:t xml:space="preserve">Concussion</w:t>
      </w:r>
      <w:r>
        <w:t xml:space="preserve"> </w:t>
      </w:r>
      <w:r>
        <w:rPr>
          <w:i/>
          <w:iCs/>
        </w:rPr>
        <w:t xml:space="preserve">assessment</w:t>
      </w:r>
      <w:r>
        <w:t xml:space="preserve"> </w:t>
      </w:r>
      <w:r>
        <w:t xml:space="preserve">platforms digitise symptom, balance and cognitive testing — Sway’s FDA-cleared scope, for example, covers cognitive and balance assessment only [32] — and none identified by the mapping delivers exertion- or heart-rate-guided therapy. Remotely monitored, app-supported exercise rehabilitation with structured clinician review is an established pattern in cardiac care [33]; this review’s mapping identified no equivalent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[27,28]; the CCMI–Wibbi module’s published description reports outcome monitoring and progress tracking rather than a serial measured-HRt curve [31]. Each element exists somewhere in the prior art; the observation concerns their combination — and it is made against criteria the author framed, so the disclosed interest applies to the comparison as much as to the product. Two further qualifications: standardised and age-predicted programmes are themselves evidence-supported [21,29], and no trial has compared measured-threshold-anchored delivery with age-predicted delivery head-to-head. The case for the measured threshold is therefore fidelity to the trialled Buffalo protocol and the prognostic value of the serial measurement (Section 2.2) — not a demonstrated outcome advantage.</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judged by the same criteria as its comparators, and carries no efficacy claim.</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In adults with persisting symptoms the evidence is thinner and more equivocal — the one completed randomised trial found no significant between-group symptom-burden benefit [19] — and the optimal dose and mode of exercise remain open questions [18]. A digital tool inherits this evidence base: it can make faithful delivery easier and more measurable, but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is the appropriate first step towards outcome evidence; an efficacy claim would additionally require prospective controlled evaluation.</w:t>
      </w:r>
    </w:p>
    <w:p>
      <w:pPr>
        <w:pStyle w:val="BodyText"/>
      </w:pPr>
      <w:r>
        <w:t xml:space="preserve">Whether a wearable-guided app actually improves between-visit delivery is itself an empirical question, not a given: app-based adherence commonly decays over weeks [34]; live heart-rate feedback can be misread under exertion or anxiety; consumer optical sensors are less accurate during exercise [26]; and any tool raises equity concerns — wearable, smartphone and data costs, plus digital-literacy and language barriers that can widen disparities. Privacy and data-governance obligations attach to any between-visit clinical data flow. Hence the framing: verification-by-design and a measurable delivery substrate, with real-world value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measured heart-rate threshold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real-world delivery without widening disparities — is the question the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7"/>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7"/>
        </w:numPr>
      </w:pPr>
      <w:r>
        <w:t xml:space="preserve">Grool AM, Aglipay M, Momoli F, et al. Association Between Early Participation in Physical Activity Following Acute Concussion and Persistent Postconcussive Symptoms in Children and Adolescents.</w:t>
      </w:r>
      <w:r>
        <w:t xml:space="preserve"> </w:t>
      </w:r>
      <w:r>
        <w:rPr>
          <w:i/>
          <w:iCs/>
        </w:rPr>
        <w:t xml:space="preserve">JAMA.</w:t>
      </w:r>
      <w:r>
        <w:t xml:space="preserve"> </w:t>
      </w:r>
      <w:r>
        <w:t xml:space="preserve">2016;316(23):2504–2514. doi:10.1001/jama.2016.17396</w:t>
      </w:r>
    </w:p>
    <w:p>
      <w:pPr>
        <w:pStyle w:val="Compact"/>
        <w:numPr>
          <w:ilvl w:val="0"/>
          <w:numId w:val="1007"/>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7"/>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7"/>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7"/>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7"/>
        </w:numPr>
      </w:pPr>
      <w:r>
        <w:t xml:space="preserve">Lumba-Brown A, Yeates KO, Sarmiento K, et al. Centers for Disease Control and Prevention Guideline on the Diagnosis and Management of Mild Traumatic Brain Injury Among Children.</w:t>
      </w:r>
      <w:r>
        <w:t xml:space="preserve"> </w:t>
      </w:r>
      <w:r>
        <w:rPr>
          <w:i/>
          <w:iCs/>
        </w:rPr>
        <w:t xml:space="preserve">JAMA Pediatr.</w:t>
      </w:r>
      <w:r>
        <w:t xml:space="preserve"> </w:t>
      </w:r>
      <w:r>
        <w:t xml:space="preserve">2018;172(11):e182853. doi:10.1001/jamapediatrics.2018.2853</w:t>
      </w:r>
    </w:p>
    <w:p>
      <w:pPr>
        <w:pStyle w:val="Compact"/>
        <w:numPr>
          <w:ilvl w:val="0"/>
          <w:numId w:val="1007"/>
        </w:numPr>
      </w:pPr>
      <w:r>
        <w:t xml:space="preserve">Ontario Neurotrauma Foundation / PedsConcussion. Living guideline for paediatric concussion care. https://pedsconcussion.com/ (accessed 14 August 2026).</w:t>
      </w:r>
    </w:p>
    <w:p>
      <w:pPr>
        <w:pStyle w:val="Compact"/>
        <w:numPr>
          <w:ilvl w:val="0"/>
          <w:numId w:val="1007"/>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7"/>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7"/>
        </w:numPr>
      </w:pPr>
      <w:r>
        <w:t xml:space="preserve">Leddy JJ, Hinds AL, Miecznikowski J, et al. Safety and Prognostic Utility of Provocative Exercise Testing in Acutely Concussed Adolescents: A Randomized Trial.</w:t>
      </w:r>
      <w:r>
        <w:t xml:space="preserve"> </w:t>
      </w:r>
      <w:r>
        <w:rPr>
          <w:i/>
          <w:iCs/>
        </w:rPr>
        <w:t xml:space="preserve">Clin J Sport Med.</w:t>
      </w:r>
      <w:r>
        <w:t xml:space="preserve"> </w:t>
      </w:r>
      <w:r>
        <w:t xml:space="preserve">2018;28(1):13–20. doi:10.1097/JSM.0000000000000431</w:t>
      </w:r>
    </w:p>
    <w:p>
      <w:pPr>
        <w:pStyle w:val="Compact"/>
        <w:numPr>
          <w:ilvl w:val="0"/>
          <w:numId w:val="1007"/>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7"/>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7"/>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7"/>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7"/>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7"/>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7"/>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7"/>
        </w:numPr>
      </w:pPr>
      <w:r>
        <w:t xml:space="preserve">Mercier LJ, McIntosh SJ, Boucher C, et al. Effect of Aerobic Exercise on Symptom Burden and Quality of Life in Adults With Persisting Post-concussive Symptoms: The ACTBI Randomized Controlled Trial.</w:t>
      </w:r>
      <w:r>
        <w:t xml:space="preserve"> </w:t>
      </w:r>
      <w:r>
        <w:rPr>
          <w:i/>
          <w:iCs/>
        </w:rPr>
        <w:t xml:space="preserve">Arch Phys Med Rehabil.</w:t>
      </w:r>
      <w:r>
        <w:t xml:space="preserve"> </w:t>
      </w:r>
      <w:r>
        <w:t xml:space="preserve">2025;106(2):195–205. doi:10.1016/j.apmr.2024.10.002</w:t>
      </w:r>
    </w:p>
    <w:p>
      <w:pPr>
        <w:pStyle w:val="Compact"/>
        <w:numPr>
          <w:ilvl w:val="0"/>
          <w:numId w:val="1007"/>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7"/>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7"/>
        </w:numPr>
      </w:pPr>
      <w:r>
        <w:t xml:space="preserve">Haider MN, Johnson SL, Mannix R, et al. The Buffalo Concussion Bike Test for Concussion Assessment in Adolescents.</w:t>
      </w:r>
      <w:r>
        <w:t xml:space="preserve"> </w:t>
      </w:r>
      <w:r>
        <w:rPr>
          <w:i/>
          <w:iCs/>
        </w:rPr>
        <w:t xml:space="preserve">Sports Health.</w:t>
      </w:r>
      <w:r>
        <w:t xml:space="preserve"> </w:t>
      </w:r>
      <w:r>
        <w:t xml:space="preserve">2019;11(6):492–497. doi:10.1177/1941738119870189</w:t>
      </w:r>
    </w:p>
    <w:p>
      <w:pPr>
        <w:pStyle w:val="Compact"/>
        <w:numPr>
          <w:ilvl w:val="0"/>
          <w:numId w:val="1007"/>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7"/>
        </w:numPr>
      </w:pPr>
      <w:r>
        <w:t xml:space="preserve">Chizuk HM, Willer BS, Cunningham A, et al. Adolescents with Sport-Related Concussion Who Adhere to Aerobic Exercise Prescriptions Recover Faster.</w:t>
      </w:r>
      <w:r>
        <w:t xml:space="preserve"> </w:t>
      </w:r>
      <w:r>
        <w:rPr>
          <w:i/>
          <w:iCs/>
        </w:rPr>
        <w:t xml:space="preserve">Med Sci Sports Exerc.</w:t>
      </w:r>
      <w:r>
        <w:t xml:space="preserve"> </w:t>
      </w:r>
      <w:r>
        <w:t xml:space="preserve">2022;54(9):1410–1416. doi:10.1249/MSS.0000000000002952</w:t>
      </w:r>
    </w:p>
    <w:p>
      <w:pPr>
        <w:pStyle w:val="Compact"/>
        <w:numPr>
          <w:ilvl w:val="0"/>
          <w:numId w:val="1007"/>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7"/>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7"/>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7"/>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7"/>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7"/>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7"/>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7"/>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7"/>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7"/>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2026-08-14T01:34:37Z</dcterms:created>
  <dcterms:modified xsi:type="dcterms:W3CDTF">2026-08-14T01:34:37Z</dcterms:modified>
</cp:coreProperties>
</file>

<file path=docProps/custom.xml><?xml version="1.0" encoding="utf-8"?>
<Properties xmlns="http://schemas.openxmlformats.org/officeDocument/2006/custom-properties" xmlns:vt="http://schemas.openxmlformats.org/officeDocument/2006/docPropsVTypes"/>
</file>