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Return-to-School Plan Template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[</w:t>
      </w:r>
      <w:r>
        <w:t xml:space="preserve"> </w:t>
      </w:r>
      <w:r>
        <w:rPr>
          <w:b/>
          <w:bCs/>
        </w:rPr>
        <w:t xml:space="preserve">← Replace this area with your clinic letterhead</w:t>
      </w:r>
      <w:r>
        <w:t xml:space="preserve"> </w:t>
      </w:r>
      <w:r>
        <w:t xml:space="preserve">— practice name, address, phone, email, AHPRA / registration body, logo. Delete this bracketed instruction after pasting your letterhead. ]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2" w:name="return-to-school-plan"/>
    <w:p>
      <w:pPr>
        <w:pStyle w:val="Heading1"/>
      </w:pPr>
      <w:r>
        <w:t xml:space="preserve">Return-to-School Plan</w:t>
      </w:r>
    </w:p>
    <w:p>
      <w:pPr>
        <w:pStyle w:val="FirstParagraph"/>
      </w:pPr>
      <w:r>
        <w:rPr>
          <w:b/>
          <w:bCs/>
        </w:rPr>
        <w:t xml:space="preserve">Post-Concussion Graduated Return-to-Learning Plan</w:t>
      </w:r>
    </w:p>
    <w:p>
      <w:pPr>
        <w:pStyle w:val="BodyText"/>
      </w:pPr>
      <w:r>
        <w:rPr>
          <w:i/>
          <w:iCs/>
        </w:rPr>
        <w:t xml:space="preserve">A collaborative document between clinician, student, family, and school. Fill in all fields, tick applicable accommodations, review fortnightly.</w:t>
      </w:r>
    </w:p>
    <w:p>
      <w:r>
        <w:pict>
          <v:rect style="width:0;height:1.5pt" o:hralign="center" o:hrstd="t" o:hr="t"/>
        </w:pict>
      </w:r>
    </w:p>
    <w:bookmarkStart w:id="9" w:name="section-1-student-and-family-details"/>
    <w:p>
      <w:pPr>
        <w:pStyle w:val="Heading2"/>
      </w:pPr>
      <w:r>
        <w:t xml:space="preserve">Section 1 — Student and family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of birth / year level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School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Parent / guardian contact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of injury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Mechanism of injury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Clinician name and registration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Clinician contact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of this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ection-2-current-clinical-status"/>
    <w:p>
      <w:pPr>
        <w:pStyle w:val="Heading2"/>
      </w:pPr>
      <w:r>
        <w:t xml:space="preserve">Section 2 — Current clinical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post-injury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Current SCOAT6 symptom score (0–132)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Dominant phenotypes (tick all that apply)</w:t>
            </w:r>
          </w:p>
        </w:tc>
        <w:tc>
          <w:tcPr/>
          <w:p>
            <w:pPr>
              <w:pStyle w:val="Compact"/>
            </w:pPr>
            <w:r>
              <w:t xml:space="preserve">☐ Vestibular ☐ Oculomotor ☐ Cervicogenic ☐ Migrainous ☐ Cognitive ☐ Affective ☐ Sleep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stage on Return-to-Learn ladder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 tolerating school</w:t>
            </w:r>
          </w:p>
        </w:tc>
        <w:tc>
          <w:tcPr/>
          <w:p>
            <w:pPr>
              <w:pStyle w:val="Compact"/>
            </w:pPr>
            <w:r>
              <w:t xml:space="preserve">☐ Full days ☐ Half days ☐ Part-time ☐ Not at school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section-3-return-to-learn-progression"/>
    <w:p>
      <w:pPr>
        <w:pStyle w:val="Heading2"/>
      </w:pPr>
      <w:r>
        <w:t xml:space="preserve">Section 3 — Return-to-Learn progression</w:t>
      </w:r>
    </w:p>
    <w:p>
      <w:pPr>
        <w:pStyle w:val="FirstParagraph"/>
      </w:pPr>
      <w:r>
        <w:t xml:space="preserve">The student will progress through the following stages, minimum 24 hours at each stage. Progression requires no new or worsening symptoms.</w:t>
      </w:r>
    </w:p>
    <w:bookmarkStart w:id="11" w:name="stage-1-at-home-no-schoolwork"/>
    <w:p>
      <w:pPr>
        <w:pStyle w:val="Heading3"/>
      </w:pPr>
      <w:r>
        <w:t xml:space="preserve">Stage 1 — At home, no schoolwork</w:t>
      </w:r>
    </w:p>
    <w:p>
      <w:pPr>
        <w:pStyle w:val="Compact"/>
        <w:numPr>
          <w:ilvl w:val="0"/>
          <w:numId w:val="1001"/>
        </w:numPr>
      </w:pPr>
      <w:r>
        <w:t xml:space="preserve">Daily activities at home</w:t>
      </w:r>
    </w:p>
    <w:p>
      <w:pPr>
        <w:pStyle w:val="Compact"/>
        <w:numPr>
          <w:ilvl w:val="0"/>
          <w:numId w:val="1001"/>
        </w:numPr>
      </w:pPr>
      <w:r>
        <w:t xml:space="preserve">No screens (beyond what is tolerated for social contact)</w:t>
      </w:r>
    </w:p>
    <w:p>
      <w:pPr>
        <w:pStyle w:val="Compact"/>
        <w:numPr>
          <w:ilvl w:val="0"/>
          <w:numId w:val="1001"/>
        </w:numPr>
      </w:pPr>
      <w:r>
        <w:t xml:space="preserve">No reading or homework</w:t>
      </w:r>
    </w:p>
    <w:p>
      <w:pPr>
        <w:pStyle w:val="Compact"/>
        <w:numPr>
          <w:ilvl w:val="0"/>
          <w:numId w:val="1001"/>
        </w:numPr>
      </w:pPr>
      <w:r>
        <w:t xml:space="preserve">Medical certificate attached</w:t>
      </w:r>
    </w:p>
    <w:bookmarkEnd w:id="11"/>
    <w:bookmarkStart w:id="12" w:name="stage-2-at-home-light-schoolwork"/>
    <w:p>
      <w:pPr>
        <w:pStyle w:val="Heading3"/>
      </w:pPr>
      <w:r>
        <w:t xml:space="preserve">Stage 2 — At home, light schoolwork</w:t>
      </w:r>
    </w:p>
    <w:p>
      <w:pPr>
        <w:pStyle w:val="Compact"/>
        <w:numPr>
          <w:ilvl w:val="0"/>
          <w:numId w:val="1002"/>
        </w:numPr>
      </w:pPr>
      <w:r>
        <w:t xml:space="preserve">15–30 minute blocks of reading or homework with breaks</w:t>
      </w:r>
    </w:p>
    <w:p>
      <w:pPr>
        <w:pStyle w:val="Compact"/>
        <w:numPr>
          <w:ilvl w:val="0"/>
          <w:numId w:val="1002"/>
        </w:numPr>
      </w:pPr>
      <w:r>
        <w:t xml:space="preserve">No tests or high-stakes assessments</w:t>
      </w:r>
    </w:p>
    <w:p>
      <w:pPr>
        <w:pStyle w:val="Compact"/>
        <w:numPr>
          <w:ilvl w:val="0"/>
          <w:numId w:val="1002"/>
        </w:numPr>
      </w:pPr>
      <w:r>
        <w:t xml:space="preserve">Avoid group work online</w:t>
      </w:r>
    </w:p>
    <w:p>
      <w:pPr>
        <w:pStyle w:val="Compact"/>
        <w:numPr>
          <w:ilvl w:val="0"/>
          <w:numId w:val="1002"/>
        </w:numPr>
      </w:pPr>
      <w:r>
        <w:t xml:space="preserve">Rest between blocks</w:t>
      </w:r>
    </w:p>
    <w:bookmarkEnd w:id="12"/>
    <w:bookmarkStart w:id="13" w:name="stage-3-return-to-school-part-time"/>
    <w:p>
      <w:pPr>
        <w:pStyle w:val="Heading3"/>
      </w:pPr>
      <w:r>
        <w:t xml:space="preserve">Stage 3 — Return to school part-time</w:t>
      </w:r>
    </w:p>
    <w:p>
      <w:pPr>
        <w:pStyle w:val="Compact"/>
        <w:numPr>
          <w:ilvl w:val="0"/>
          <w:numId w:val="1003"/>
        </w:numPr>
      </w:pPr>
      <w:r>
        <w:t xml:space="preserve">Half days initially, increasing as tolerated</w:t>
      </w:r>
    </w:p>
    <w:p>
      <w:pPr>
        <w:pStyle w:val="Compact"/>
        <w:numPr>
          <w:ilvl w:val="0"/>
          <w:numId w:val="1003"/>
        </w:numPr>
      </w:pPr>
      <w:r>
        <w:t xml:space="preserve">Quiet room or library access for breaks</w:t>
      </w:r>
    </w:p>
    <w:p>
      <w:pPr>
        <w:pStyle w:val="Compact"/>
        <w:numPr>
          <w:ilvl w:val="0"/>
          <w:numId w:val="1003"/>
        </w:numPr>
      </w:pPr>
      <w:r>
        <w:t xml:space="preserve">Extended deadlines for assignments</w:t>
      </w:r>
    </w:p>
    <w:p>
      <w:pPr>
        <w:pStyle w:val="Compact"/>
        <w:numPr>
          <w:ilvl w:val="0"/>
          <w:numId w:val="1003"/>
        </w:numPr>
      </w:pPr>
      <w:r>
        <w:t xml:space="preserve">Modified timetable prioritising core subjects the student is keeping up with</w:t>
      </w:r>
    </w:p>
    <w:p>
      <w:pPr>
        <w:pStyle w:val="Compact"/>
        <w:numPr>
          <w:ilvl w:val="0"/>
          <w:numId w:val="1003"/>
        </w:numPr>
      </w:pPr>
      <w:r>
        <w:t xml:space="preserve">No physical education, no contact sport</w:t>
      </w:r>
    </w:p>
    <w:p>
      <w:pPr>
        <w:pStyle w:val="Compact"/>
        <w:numPr>
          <w:ilvl w:val="0"/>
          <w:numId w:val="1003"/>
        </w:numPr>
      </w:pPr>
      <w:r>
        <w:t xml:space="preserve">Reduced screen time</w:t>
      </w:r>
    </w:p>
    <w:p>
      <w:pPr>
        <w:pStyle w:val="Compact"/>
        <w:numPr>
          <w:ilvl w:val="0"/>
          <w:numId w:val="1003"/>
        </w:numPr>
      </w:pPr>
      <w:r>
        <w:t xml:space="preserve">Permission to wear sunglasses and hat indoors for photosensitivity</w:t>
      </w:r>
    </w:p>
    <w:bookmarkEnd w:id="13"/>
    <w:bookmarkStart w:id="14" w:name="X8fa3c3897c98142be09b85fe2c9d5b9aec47759"/>
    <w:p>
      <w:pPr>
        <w:pStyle w:val="Heading3"/>
      </w:pPr>
      <w:r>
        <w:t xml:space="preserve">Stage 4 — Return to school full-time with modifications</w:t>
      </w:r>
    </w:p>
    <w:p>
      <w:pPr>
        <w:pStyle w:val="Compact"/>
        <w:numPr>
          <w:ilvl w:val="0"/>
          <w:numId w:val="1004"/>
        </w:numPr>
      </w:pPr>
      <w:r>
        <w:t xml:space="preserve">Full school days</w:t>
      </w:r>
    </w:p>
    <w:p>
      <w:pPr>
        <w:pStyle w:val="Compact"/>
        <w:numPr>
          <w:ilvl w:val="0"/>
          <w:numId w:val="1004"/>
        </w:numPr>
      </w:pPr>
      <w:r>
        <w:t xml:space="preserve">Continued access to quiet room for breaks</w:t>
      </w:r>
    </w:p>
    <w:p>
      <w:pPr>
        <w:pStyle w:val="Compact"/>
        <w:numPr>
          <w:ilvl w:val="0"/>
          <w:numId w:val="1004"/>
        </w:numPr>
      </w:pPr>
      <w:r>
        <w:t xml:space="preserve">Continued extended deadlines as needed</w:t>
      </w:r>
    </w:p>
    <w:p>
      <w:pPr>
        <w:pStyle w:val="Compact"/>
        <w:numPr>
          <w:ilvl w:val="0"/>
          <w:numId w:val="1004"/>
        </w:numPr>
      </w:pPr>
      <w:r>
        <w:t xml:space="preserve">Graduated re-introduction of physical education (non-contact only at this stage)</w:t>
      </w:r>
    </w:p>
    <w:p>
      <w:pPr>
        <w:pStyle w:val="Compact"/>
        <w:numPr>
          <w:ilvl w:val="0"/>
          <w:numId w:val="1004"/>
        </w:numPr>
      </w:pPr>
      <w:r>
        <w:t xml:space="preserve">Tests may resume with consideration of modified timing or quieter environment</w:t>
      </w:r>
    </w:p>
    <w:p>
      <w:pPr>
        <w:pStyle w:val="Compact"/>
        <w:numPr>
          <w:ilvl w:val="0"/>
          <w:numId w:val="1004"/>
        </w:numPr>
      </w:pPr>
      <w:r>
        <w:t xml:space="preserve">Reduced homework load if needed</w:t>
      </w:r>
    </w:p>
    <w:bookmarkEnd w:id="14"/>
    <w:bookmarkStart w:id="15" w:name="stage-5-full-return-no-modifications"/>
    <w:p>
      <w:pPr>
        <w:pStyle w:val="Heading3"/>
      </w:pPr>
      <w:r>
        <w:t xml:space="preserve">Stage 5 — Full return, no modifications</w:t>
      </w:r>
    </w:p>
    <w:p>
      <w:pPr>
        <w:pStyle w:val="Compact"/>
        <w:numPr>
          <w:ilvl w:val="0"/>
          <w:numId w:val="1005"/>
        </w:numPr>
      </w:pPr>
      <w:r>
        <w:t xml:space="preserve">Normal school participation including contact sport (if separately cleared for return to play)</w:t>
      </w:r>
    </w:p>
    <w:p>
      <w:pPr>
        <w:pStyle w:val="Compact"/>
        <w:numPr>
          <w:ilvl w:val="0"/>
          <w:numId w:val="1005"/>
        </w:numPr>
      </w:pPr>
      <w:r>
        <w:t xml:space="preserve">Return to normal academic load</w:t>
      </w:r>
    </w:p>
    <w:p>
      <w:pPr>
        <w:pStyle w:val="Compact"/>
        <w:numPr>
          <w:ilvl w:val="0"/>
          <w:numId w:val="1005"/>
        </w:numPr>
      </w:pPr>
      <w:r>
        <w:t xml:space="preserve">No ongoing accommodations required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474c4ff47645081c1b1f4567059b680a3d77cee"/>
    <w:p>
      <w:pPr>
        <w:pStyle w:val="Heading2"/>
      </w:pPr>
      <w:r>
        <w:t xml:space="preserve">Section 4 — Current accommodations in place</w:t>
      </w:r>
    </w:p>
    <w:p>
      <w:pPr>
        <w:pStyle w:val="FirstParagraph"/>
      </w:pPr>
      <w:r>
        <w:t xml:space="preserve">Tick accommodations currently required by this student:</w:t>
      </w:r>
    </w:p>
    <w:p>
      <w:pPr>
        <w:pStyle w:val="Compact"/>
        <w:numPr>
          <w:ilvl w:val="0"/>
          <w:numId w:val="1006"/>
        </w:numPr>
      </w:pPr>
      <w:r>
        <w:t xml:space="preserve">Late start / early finish (specify hours): __________________________________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Extended time on assessments (e.g. time-and-a-half)</w:t>
      </w:r>
    </w:p>
    <w:p>
      <w:pPr>
        <w:pStyle w:val="Compact"/>
        <w:numPr>
          <w:ilvl w:val="0"/>
          <w:numId w:val="1008"/>
        </w:numPr>
      </w:pPr>
      <w:r>
        <w:t xml:space="preserve">Quiet room or library access for breaks</w:t>
      </w:r>
    </w:p>
    <w:p>
      <w:pPr>
        <w:pStyle w:val="Compact"/>
        <w:numPr>
          <w:ilvl w:val="0"/>
          <w:numId w:val="1009"/>
        </w:numPr>
      </w:pPr>
      <w:r>
        <w:t xml:space="preserve">Sunglasses / hat indoors (photosensitivity)</w:t>
      </w:r>
    </w:p>
    <w:p>
      <w:pPr>
        <w:pStyle w:val="Compact"/>
        <w:numPr>
          <w:ilvl w:val="0"/>
          <w:numId w:val="1010"/>
        </w:numPr>
      </w:pPr>
      <w:r>
        <w:t xml:space="preserve">Noise-cancelling headphones (phonophobia)</w:t>
      </w:r>
    </w:p>
    <w:p>
      <w:pPr>
        <w:pStyle w:val="Compact"/>
        <w:numPr>
          <w:ilvl w:val="0"/>
          <w:numId w:val="1011"/>
        </w:numPr>
      </w:pPr>
      <w:r>
        <w:t xml:space="preserve">Reduced screen time — maximum ____ minutes per block</w:t>
      </w:r>
    </w:p>
    <w:p>
      <w:pPr>
        <w:pStyle w:val="Compact"/>
        <w:numPr>
          <w:ilvl w:val="0"/>
          <w:numId w:val="1012"/>
        </w:numPr>
      </w:pPr>
      <w:r>
        <w:t xml:space="preserve">Scheduled breaks every ____ minutes</w:t>
      </w:r>
    </w:p>
    <w:p>
      <w:pPr>
        <w:pStyle w:val="Compact"/>
        <w:numPr>
          <w:ilvl w:val="0"/>
          <w:numId w:val="1013"/>
        </w:numPr>
      </w:pPr>
      <w:r>
        <w:t xml:space="preserve">Extension on specific assignments (list below)</w:t>
      </w:r>
    </w:p>
    <w:p>
      <w:pPr>
        <w:pStyle w:val="Compact"/>
        <w:numPr>
          <w:ilvl w:val="0"/>
          <w:numId w:val="1014"/>
        </w:numPr>
      </w:pPr>
      <w:r>
        <w:t xml:space="preserve">Exemption from physical education</w:t>
      </w:r>
    </w:p>
    <w:p>
      <w:pPr>
        <w:pStyle w:val="Compact"/>
        <w:numPr>
          <w:ilvl w:val="0"/>
          <w:numId w:val="1015"/>
        </w:numPr>
      </w:pPr>
      <w:r>
        <w:t xml:space="preserve">Exemption from contact sport</w:t>
      </w:r>
    </w:p>
    <w:p>
      <w:pPr>
        <w:pStyle w:val="Compact"/>
        <w:numPr>
          <w:ilvl w:val="0"/>
          <w:numId w:val="1016"/>
        </w:numPr>
      </w:pPr>
      <w:r>
        <w:t xml:space="preserve">Water bottle permitted in class</w:t>
      </w:r>
    </w:p>
    <w:p>
      <w:pPr>
        <w:pStyle w:val="Compact"/>
        <w:numPr>
          <w:ilvl w:val="0"/>
          <w:numId w:val="1017"/>
        </w:numPr>
      </w:pPr>
      <w:r>
        <w:t xml:space="preserve">Permission to exit class if symptoms worsen</w:t>
      </w:r>
    </w:p>
    <w:p>
      <w:pPr>
        <w:pStyle w:val="Compact"/>
        <w:numPr>
          <w:ilvl w:val="0"/>
          <w:numId w:val="1018"/>
        </w:numPr>
      </w:pPr>
      <w:r>
        <w:t xml:space="preserve">Other (specify): 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section-5-subjects-and-workload"/>
    <w:p>
      <w:pPr>
        <w:pStyle w:val="Heading2"/>
      </w:pPr>
      <w:r>
        <w:t xml:space="preserve">Section 5 — Subjects and workload</w:t>
      </w:r>
    </w:p>
    <w:p>
      <w:pPr>
        <w:pStyle w:val="FirstParagraph"/>
      </w:pPr>
      <w:r>
        <w:t xml:space="preserve">List subjects currently challenging and any specific modifications: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Current load</w:t>
            </w:r>
          </w:p>
        </w:tc>
        <w:tc>
          <w:tcPr/>
          <w:p>
            <w:pPr>
              <w:pStyle w:val="Compact"/>
            </w:pPr>
            <w:r>
              <w:t xml:space="preserve">Modifications required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f01a32ed1be93f9a1d801fdf2499baa2b045f76"/>
    <w:p>
      <w:pPr>
        <w:pStyle w:val="Heading2"/>
      </w:pPr>
      <w:r>
        <w:t xml:space="preserve">Section 6 — Symptoms to watch for at school</w:t>
      </w:r>
    </w:p>
    <w:p>
      <w:pPr>
        <w:pStyle w:val="FirstParagraph"/>
      </w:pPr>
      <w:r>
        <w:t xml:space="preserve">The teacher, year-level coordinator, and school nurse should be aware of the following symptoms. If any occur at school, the student should be allowed to rest in a quiet space and the parent should be contacted.</w:t>
      </w:r>
    </w:p>
    <w:p>
      <w:pPr>
        <w:pStyle w:val="Compact"/>
        <w:numPr>
          <w:ilvl w:val="0"/>
          <w:numId w:val="1019"/>
        </w:numPr>
      </w:pPr>
      <w:r>
        <w:t xml:space="preserve">Worsening headache</w:t>
      </w:r>
    </w:p>
    <w:p>
      <w:pPr>
        <w:pStyle w:val="Compact"/>
        <w:numPr>
          <w:ilvl w:val="0"/>
          <w:numId w:val="1019"/>
        </w:numPr>
      </w:pPr>
      <w:r>
        <w:t xml:space="preserve">Increased dizziness or nausea</w:t>
      </w:r>
    </w:p>
    <w:p>
      <w:pPr>
        <w:pStyle w:val="Compact"/>
        <w:numPr>
          <w:ilvl w:val="0"/>
          <w:numId w:val="1019"/>
        </w:numPr>
      </w:pPr>
      <w:r>
        <w:t xml:space="preserve">Visual changes — blurred vision, difficulty focusing</w:t>
      </w:r>
    </w:p>
    <w:p>
      <w:pPr>
        <w:pStyle w:val="Compact"/>
        <w:numPr>
          <w:ilvl w:val="0"/>
          <w:numId w:val="1019"/>
        </w:numPr>
      </w:pPr>
      <w:r>
        <w:t xml:space="preserve">Increased confusion or brain fog</w:t>
      </w:r>
    </w:p>
    <w:p>
      <w:pPr>
        <w:pStyle w:val="Compact"/>
        <w:numPr>
          <w:ilvl w:val="0"/>
          <w:numId w:val="1019"/>
        </w:numPr>
      </w:pPr>
      <w:r>
        <w:t xml:space="preserve">Emotional distress, irritability, tearfulness</w:t>
      </w:r>
    </w:p>
    <w:p>
      <w:pPr>
        <w:pStyle w:val="Compact"/>
        <w:numPr>
          <w:ilvl w:val="0"/>
          <w:numId w:val="1019"/>
        </w:numPr>
      </w:pPr>
      <w:r>
        <w:t xml:space="preserve">Extreme fatigue</w:t>
      </w:r>
    </w:p>
    <w:p>
      <w:pPr>
        <w:pStyle w:val="Compact"/>
        <w:numPr>
          <w:ilvl w:val="0"/>
          <w:numId w:val="1019"/>
        </w:numPr>
      </w:pPr>
      <w:r>
        <w:t xml:space="preserve">Light or noise sensitivity requiring exit from classroom</w:t>
      </w:r>
    </w:p>
    <w:p>
      <w:pPr>
        <w:pStyle w:val="FirstParagraph"/>
      </w:pPr>
      <w:r>
        <w:rPr>
          <w:b/>
          <w:bCs/>
        </w:rPr>
        <w:t xml:space="preserve">EMERGENCY — if any of the following occur, the school should contact emergency services (000) and then the parent:</w:t>
      </w:r>
    </w:p>
    <w:p>
      <w:pPr>
        <w:pStyle w:val="Compact"/>
        <w:numPr>
          <w:ilvl w:val="0"/>
          <w:numId w:val="1020"/>
        </w:numPr>
      </w:pPr>
      <w:r>
        <w:t xml:space="preserve">Loss of consciousness</w:t>
      </w:r>
    </w:p>
    <w:p>
      <w:pPr>
        <w:pStyle w:val="Compact"/>
        <w:numPr>
          <w:ilvl w:val="0"/>
          <w:numId w:val="1020"/>
        </w:numPr>
      </w:pPr>
      <w:r>
        <w:t xml:space="preserve">Seizure</w:t>
      </w:r>
    </w:p>
    <w:p>
      <w:pPr>
        <w:pStyle w:val="Compact"/>
        <w:numPr>
          <w:ilvl w:val="0"/>
          <w:numId w:val="1020"/>
        </w:numPr>
      </w:pPr>
      <w:r>
        <w:t xml:space="preserve">Repeated vomiting</w:t>
      </w:r>
    </w:p>
    <w:p>
      <w:pPr>
        <w:pStyle w:val="Compact"/>
        <w:numPr>
          <w:ilvl w:val="0"/>
          <w:numId w:val="1020"/>
        </w:numPr>
      </w:pPr>
      <w:r>
        <w:t xml:space="preserve">Significant decline in responsiveness</w:t>
      </w:r>
    </w:p>
    <w:p>
      <w:pPr>
        <w:pStyle w:val="Compact"/>
        <w:numPr>
          <w:ilvl w:val="0"/>
          <w:numId w:val="1020"/>
        </w:numPr>
      </w:pPr>
      <w:r>
        <w:t xml:space="preserve">Severe worsening headache</w:t>
      </w:r>
    </w:p>
    <w:p>
      <w:r>
        <w:pict>
          <v:rect style="width:0;height:1.5pt" o:hralign="center" o:hrstd="t" o:hr="t"/>
        </w:pict>
      </w:r>
    </w:p>
    <w:bookmarkEnd w:id="19"/>
    <w:bookmarkStart w:id="20" w:name="section-7-review-and-communication"/>
    <w:p>
      <w:pPr>
        <w:pStyle w:val="Heading2"/>
      </w:pPr>
      <w:r>
        <w:t xml:space="preserve">Section 7 — Review and communication</w:t>
      </w:r>
    </w:p>
    <w:p>
      <w:pPr>
        <w:pStyle w:val="FirstParagraph"/>
      </w:pPr>
      <w:r>
        <w:rPr>
          <w:b/>
          <w:bCs/>
        </w:rPr>
        <w:t xml:space="preserve">Next review date: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/>
          <w:bCs/>
        </w:rPr>
        <w:t xml:space="preserve">Communication between clinician and school:</w:t>
      </w:r>
      <w:r>
        <w:t xml:space="preserve"> </w:t>
      </w:r>
      <w:r>
        <w:t xml:space="preserve">The school may contact the clinician directly with the parent’s consent. Clinician contact details on letterhead above.</w:t>
      </w:r>
    </w:p>
    <w:p>
      <w:pPr>
        <w:pStyle w:val="BodyText"/>
      </w:pPr>
      <w:r>
        <w:rPr>
          <w:b/>
          <w:bCs/>
        </w:rPr>
        <w:t xml:space="preserve">Parent–school communication:</w:t>
      </w:r>
      <w:r>
        <w:t xml:space="preserve"> </w:t>
      </w:r>
      <w:r>
        <w:t xml:space="preserve">Weekly check-in suggested during active recovery.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8-signatures"/>
    <w:p>
      <w:pPr>
        <w:pStyle w:val="Heading2"/>
      </w:pPr>
      <w:r>
        <w:t xml:space="preserve">Section 8 —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School representative (year coordinator or principal)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(if appropriate)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plan is a living document and will be updated as the student progresses through the return-to-learn stages. The clinician is available to discuss adjustments at any time.</w:t>
      </w:r>
    </w:p>
    <w:p>
      <w:pPr>
        <w:pStyle w:val="BodyText"/>
      </w:pPr>
      <w:r>
        <w:rPr>
          <w:i/>
          <w:iCs/>
        </w:rPr>
        <w:t xml:space="preserve">Template aligned with the Amsterdam Consensus Statement on Concussion in Sport (Patricios et al. 2023) and the AIS/SMA Concussion and Brain Health Position Statement (2024).</w:t>
      </w:r>
    </w:p>
    <w:p>
      <w:pPr>
        <w:pStyle w:val="BodyText"/>
      </w:pPr>
      <w:r>
        <w:rPr>
          <w:i/>
          <w:iCs/>
        </w:rPr>
        <w:t xml:space="preserve">Concussion Education Australia · portal.concussion-education-australia.com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Return-to-School Plan Template</dc:title>
  <dc:creator/>
  <cp:keywords/>
  <dcterms:created xsi:type="dcterms:W3CDTF">2026-04-22T22:07:43Z</dcterms:created>
  <dcterms:modified xsi:type="dcterms:W3CDTF">2026-04-22T22:07:43Z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