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derived from the trial procedures: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condition-general design principles before any tool is named; existing tools, including the author’s, are then located against those principles with the interest disclosed (Section 4.2); and no efficacy claim is made for the author’s software.</w:t>
      </w:r>
    </w:p>
    <w:bookmarkEnd w:id="10"/>
    <w:bookmarkStart w:id="14" w:name="Xc17bb64c04ed25c5f0bba969b9c809436c9357c"/>
    <w:p>
      <w:pPr>
        <w:pStyle w:val="Heading2"/>
      </w:pPr>
      <w:r>
        <w:t xml:space="preserve">1. Introduction: the rest-to-active paradigm shift</w:t>
      </w:r>
    </w:p>
    <w:bookmarkStart w:id="11"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w:t>
      </w:r>
      <w:r>
        <w:t xml:space="preserve">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1"/>
    <w:bookmarkStart w:id="12"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adults with persistent post-concussive symptoms, roughly 81% test positive for exercise intolerance, and a higher symptom burden is associated with higher odds of testing positive [3]. This matters because it means the phenotype is (a) frequent, (b) measurable, and (c) the direct target of the treatment.</w:t>
      </w:r>
    </w:p>
    <w:bookmarkEnd w:id="12"/>
    <w:bookmarkStart w:id="13"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1"/>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3"/>
    <w:bookmarkEnd w:id="14"/>
    <w:bookmarkStart w:id="20" w:name="the-evidence"/>
    <w:p>
      <w:pPr>
        <w:pStyle w:val="Heading2"/>
      </w:pPr>
      <w:r>
        <w:t xml:space="preserve">2. The evidence</w:t>
      </w:r>
    </w:p>
    <w:bookmarkStart w:id="15"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5"/>
    <w:bookmarkStart w:id="16" w:name="hrt-and-the-slope-are-also-prognostic"/>
    <w:p>
      <w:pPr>
        <w:pStyle w:val="Heading3"/>
      </w:pPr>
      <w:r>
        <w:t xml:space="preserve">2.2 HRt and the slope are also prognostic</w:t>
      </w:r>
    </w:p>
    <w:p>
      <w:pPr>
        <w:pStyle w:val="FirstParagraph"/>
      </w:pPr>
      <w:r>
        <w:t xml:space="preserve">Beyond prescribing, the threshold test forecasts recovery. In adolescents with sport-related concussion, an absolute HRt below ~135 bpm has been associated with prolonged (&gt;21-day) recovery, and Haider and colleagues found that a blunted heart-rate response — a change in heart rate of ≤50 bpm across the test — predicted delayed (&gt;30-day) recovery with roughly 73% sensitivity and 78% specificity in adolescents managed with the then-standard prescribed rest [7]. A single test that both prescribes the dose and stratifies recovery risk is clinically valuable — and serial HRt becomes an objective recovery trajectory rather than a subjective symptom diary.</w:t>
      </w:r>
    </w:p>
    <w:bookmarkEnd w:id="16"/>
    <w:bookmarkStart w:id="17" w:name="Xefefcbc9c5b47b21f81bb8212cac0802686062c"/>
    <w:p>
      <w:pPr>
        <w:pStyle w:val="Heading3"/>
      </w:pPr>
      <w:r>
        <w:t xml:space="preserve">2.3 SSTAE works: the randomised evidence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(ages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shortened recovery (the trial’s reported hazard ratio for stretching versus aerobic exercise was 0.52, 95% CI 0.28–0.97, p=0.039) and roughly halved the incidence of persistent post-concussive symptoms, with good adherence and no adverse events [10].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7"/>
    <w:bookmarkStart w:id="18" w:name="prescribing-without-a-treadmill"/>
    <w:p>
      <w:pPr>
        <w:pStyle w:val="Heading3"/>
      </w:pPr>
      <w:r>
        <w:t xml:space="preserve">2.4 Prescribing without a treadmill</w:t>
      </w:r>
    </w:p>
    <w:p>
      <w:pPr>
        <w:pStyle w:val="FirstParagraph"/>
      </w:pPr>
      <w:r>
        <w:t xml:space="preserve">A practical obstacle is that not every clinician has a treadmill, an ECG and the time to run a 15-minute staged test with per-minute logging. The Buffalo group addressed this in two practical-management papers: one detailing how to prescribe SSTAE in the outpatient setting from an HRt [14], and one giving a standardised programme in the absence of graded exercise testing [15]. Together they establish that the prescription — a heart-rate-anchored band, ~20 minutes, most days, with a within-session symptom-stop rule and graded progression — is meant to be portable and repeatable.</w:t>
      </w:r>
    </w:p>
    <w:bookmarkEnd w:id="18"/>
    <w:bookmarkStart w:id="19"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3"/>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3"/>
        </w:numPr>
      </w:pPr>
      <w:r>
        <w:rPr>
          <w:b/>
          <w:bCs/>
        </w:rPr>
        <w:t xml:space="preserve">Dose:</w:t>
      </w:r>
      <w:r>
        <w:t xml:space="preserve"> </w:t>
      </w:r>
      <w:r>
        <w:t xml:space="preserve">~20 minutes, most days of the week [9,10].</w:t>
      </w:r>
    </w:p>
    <w:p>
      <w:pPr>
        <w:pStyle w:val="Compact"/>
        <w:numPr>
          <w:ilvl w:val="0"/>
          <w:numId w:val="1003"/>
        </w:numPr>
      </w:pPr>
      <w:r>
        <w:rPr>
          <w:b/>
          <w:bCs/>
        </w:rPr>
        <w:t xml:space="preserve">Within-session stop rule:</w:t>
      </w:r>
      <w:r>
        <w:t xml:space="preserve"> </w:t>
      </w:r>
      <w:r>
        <w:t xml:space="preserve">stop if symptoms rise more than 2 points (&gt;2) above pre-session — the complement of the consensus’s up-to-2-point tolerance band [4].</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the return-to-activity / clearance signal.</w:t>
      </w:r>
    </w:p>
    <w:bookmarkEnd w:id="19"/>
    <w:bookmarkEnd w:id="20"/>
    <w:bookmarkStart w:id="21" w:name="the-implementation-gap"/>
    <w:p>
      <w:pPr>
        <w:pStyle w:val="Heading2"/>
      </w:pPr>
      <w:r>
        <w:t xml:space="preserve">3. The implementation gap</w:t>
      </w:r>
    </w:p>
    <w:p>
      <w:pPr>
        <w:pStyle w:val="FirstParagraph"/>
      </w:pPr>
      <w:r>
        <w:t xml:space="preserve">Here is the problem the evidence does not solve. The trials worked because participants were carefully prescribed an individualised heart-rate ceiling and adhered to it on every home session, with clinician oversight.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 if it happens.</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On paper diaries this is incomplete, recalled, and rarely makes it into the record in a usable form. Serial HRt — the objective recovery curve and the clearance signal — is almost never captured outside a research setting.</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1"/>
    <w:bookmarkStart w:id="24"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derived from the trial procedures [8–10] and the gap analysis in Section 3, and stated at the level of requirements, independent of any vendor or product; Section 4.2 then locates the existing tools — including, with disclosed interest, the author’s — against them. The portable, repeatable prescription of Section 2.4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[9,10] — converts an abstract bpm range into a moment-to-moment</w:t>
      </w:r>
      <w:r>
        <w:t xml:space="preserve"> </w:t>
      </w:r>
      <w:r>
        <w:t xml:space="preserve">“in zone / over / under”</w:t>
      </w:r>
      <w:r>
        <w:t xml:space="preserve"> </w:t>
      </w:r>
      <w:r>
        <w:t xml:space="preserve">signal. This is the most direct available means of making the ceiling self-dosable — though whether live feedback improves real-world fidelity is itself an empirical question (Section 5).</w:t>
      </w:r>
    </w:p>
    <w:p>
      <w:pPr>
        <w:numPr>
          <w:ilvl w:val="0"/>
          <w:numId w:val="1005"/>
        </w:numPr>
      </w:pPr>
      <w:r>
        <w:rPr>
          <w:b/>
          <w:bCs/>
        </w:rPr>
        <w:t xml:space="preserve">Be hardware-agnostic so the ceiling is always available.</w:t>
      </w:r>
      <w:r>
        <w:t xml:space="preserve"> </w:t>
      </w:r>
      <w:r>
        <w:t xml:space="preserve">Friction is the main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honest limits attach to any implementation: phone-camera photoplethysmography is unreliable during exercise because of motion artefact, so it should never drive a live training session; and some widely owned wrist devices do not broadcast standard Bluetooth heart rate,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clearance-review signal rather than disappearing into a home diary. Structured between-visit return of concussion data to clinicians is already an established mobile-health pattern (Section 4.2).</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This division is intended to align with clinical-decision-support carve-outs (for example, the US 21st Century Cures Act §3060 and the TGA’s clinical-decision-support exclusion), but classification turns on claims and intended use, and a formal regulatory scoping opinion should precede any launch.</w:t>
      </w:r>
    </w:p>
    <w:bookmarkStart w:id="22"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(e.g. Visible)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w:t>
      </w:r>
    </w:p>
    <w:bookmarkEnd w:id="22"/>
    <w:bookmarkStart w:id="23" w:name="Xe07dc316fc9c296e7b2ad198a22c4f0f6dcd972"/>
    <w:p>
      <w:pPr>
        <w:pStyle w:val="Heading3"/>
      </w:pPr>
      <w:r>
        <w:t xml:space="preserve">4.2 What already exists — and the narrow, honest novelty</w:t>
      </w:r>
    </w:p>
    <w:p>
      <w:pPr>
        <w:pStyle w:val="FirstParagraph"/>
      </w:pPr>
      <w:r>
        <w:t xml:space="preserve">It would be wrong to imply that no one has digitised this prescription. The honest claim must be made against the existing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[16]. Its published protocol, however, guides users to a fixed ~60% ± 5% of age-predicted maximal heart rate (220 − age), with no graded test to individualise the threshold; individualisation is limited to in-app same/better/worse symptom feedback [17]. The published descriptions do not report a dedicated clinician dashboard [16,17]. An RCT from the same group has likewise delivered early aerobic exercise using a progressive percentage of age-predicted-maximum heart rate [18].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[19].</w:t>
      </w:r>
    </w:p>
    <w:p>
      <w:pPr>
        <w:pStyle w:val="Compact"/>
        <w:numPr>
          <w:ilvl w:val="0"/>
          <w:numId w:val="1006"/>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this review’s mapping identified no commercial implementation of it, and the measured-threshold approach remains open for independent implementation.</w:t>
      </w:r>
    </w:p>
    <w:p>
      <w:pPr>
        <w:pStyle w:val="Compact"/>
        <w:numPr>
          <w:ilvl w:val="0"/>
          <w:numId w:val="1006"/>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[20]. The published description reports symptom and outcome-score tracking; it does not describe digital delivery of a serial measured-HRt curve [20].</w:t>
      </w:r>
    </w:p>
    <w:p>
      <w:pPr>
        <w:pStyle w:val="Compact"/>
        <w:numPr>
          <w:ilvl w:val="0"/>
          <w:numId w:val="1006"/>
        </w:numPr>
      </w:pPr>
      <w:r>
        <w:t xml:space="preserve">Concussion</w:t>
      </w:r>
      <w:r>
        <w:t xml:space="preserve"> </w:t>
      </w:r>
      <w:r>
        <w:rPr>
          <w:i/>
          <w:iCs/>
        </w:rPr>
        <w:t xml:space="preserve">assessment</w:t>
      </w:r>
      <w:r>
        <w:t xml:space="preserve"> </w:t>
      </w:r>
      <w:r>
        <w:t xml:space="preserve">platforms (e.g. Sway [21], C3 Logix, HeadCheck, ImPACT) digitise symptom, balance and cognitive testing; their published descriptions include no exertion or heart-rate-guided therapy. Supervised heart-rate-zone training is an established pattern in app-based cardiac rehabilitation; this review’s mapping identified no equivalently supervised, at-scale commercial implementation for concussion.</w:t>
      </w:r>
    </w:p>
    <w:p>
      <w:pPr>
        <w:pStyle w:val="FirstParagraph"/>
      </w:pPr>
      <w:r>
        <w:t xml:space="preserve">Against that backdrop, the defensible finding is not</w:t>
      </w:r>
      <w:r>
        <w:t xml:space="preserve"> </w:t>
      </w:r>
      <w:r>
        <w:t xml:space="preserve">“first digital delivery.”</w:t>
      </w:r>
      <w:r>
        <w:t xml:space="preserve"> </w:t>
      </w:r>
      <w:r>
        <w:t xml:space="preserve">It is narrower and construct-level: among the tools identified in this review, none combines a</w:t>
      </w:r>
      <w:r>
        <w:t xml:space="preserve"> </w:t>
      </w:r>
      <w:r>
        <w:rPr>
          <w:i/>
          <w:iCs/>
        </w:rPr>
        <w:t xml:space="preserve">measured</w:t>
      </w:r>
      <w:r>
        <w:t xml:space="preserve"> </w:t>
      </w:r>
      <w:r>
        <w:t xml:space="preserve">heart-rate threshold (BCTT-derived, not age-predicted-maximum),</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age-predicted-maximum percentage with no graded test and no reported clinician dashboard [16,17]; the CCMI-Wibbi module’s published description reports outcome-score tracking rather than a serial measured-HRt curve [20].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It is named here for transparency and located against the same criteria as its comparators; consistent with Section 5, no efficacy claim is made for it.</w:t>
      </w:r>
    </w:p>
    <w:bookmarkEnd w:id="23"/>
    <w:bookmarkEnd w:id="24"/>
    <w:bookmarkStart w:id="25" w:name="limitations-and-honest-scope"/>
    <w:p>
      <w:pPr>
        <w:pStyle w:val="Heading2"/>
      </w:pPr>
      <w:r>
        <w:t xml:space="preserve">5. Limitations and honest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honest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bookmarkEnd w:id="25"/>
    <w:bookmarkStart w:id="26"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uncompromising in never fabricating that signal, and built to carry the safety logic and report back to the prescriber are a candidate instrument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6"/>
    <w:bookmarkStart w:id="27"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7"/>
    <w:bookmarkStart w:id="28" w:name="references"/>
    <w:p>
      <w:pPr>
        <w:pStyle w:val="Heading2"/>
      </w:pPr>
      <w:r>
        <w:t xml:space="preserve">References</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LJ,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Sway Medical Inc. Sway Medical announces FDA 510(k) clearance of its comprehensive concussion management system (K241737). February 2025. https://www.prnewswire.com/news-releases/sway-medical-inc-announces-fda-510k-clearance-of-its-comprehensive-concussion-management-system-302385941.html (accessed 12 August 2026).</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2026-08-12T04:18:18Z</dcterms:created>
  <dcterms:modified xsi:type="dcterms:W3CDTF">2026-08-12T04:18:18Z</dcterms:modified>
</cp:coreProperties>
</file>

<file path=docProps/custom.xml><?xml version="1.0" encoding="utf-8"?>
<Properties xmlns="http://schemas.openxmlformats.org/officeDocument/2006/custom-properties" xmlns:vt="http://schemas.openxmlformats.org/officeDocument/2006/docPropsVTypes"/>
</file>