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Running head:</w:t>
      </w:r>
      <w:r>
        <w:t xml:space="preserve"> </w:t>
      </w:r>
      <w:r>
        <w:t xml:space="preserve">SSTAE for concussion: digital delivery</w:t>
      </w:r>
    </w:p>
    <w:p>
      <w:pPr>
        <w:pStyle w:val="BodyText"/>
      </w:pPr>
      <w:r>
        <w:rPr>
          <w:b/>
          <w:bCs/>
        </w:rPr>
        <w:t xml:space="preserve">Zac Lewis, B.Clin.Sci., M.Ost.Med.</w:t>
      </w:r>
      <w:r>
        <w:t xml:space="preserve">¹</w:t>
      </w:r>
    </w:p>
    <w:p>
      <w:pPr>
        <w:pStyle w:val="BodyText"/>
      </w:pPr>
      <w:r>
        <w:t xml:space="preserve">¹ Concussion Education Australia, Byron Bay, NSW, Australia. ORCID: 0009-0002-4267-0451.</w:t>
      </w:r>
    </w:p>
    <w:p>
      <w:pPr>
        <w:pStyle w:val="BodyText"/>
      </w:pPr>
      <w:r>
        <w:rPr>
          <w:b/>
          <w:bCs/>
        </w:rPr>
        <w:t xml:space="preserve">Corresponding author:</w:t>
      </w:r>
      <w:r>
        <w:t xml:space="preserve"> </w:t>
      </w:r>
      <w:r>
        <w:t xml:space="preserve">Zac Lewis, Concussion Education Australia, 2 Wordsworth St, Byron Bay, NSW 2481, Australia. Email: zac@concussion-education-australia.com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Patient and public involvement.</w:t>
      </w:r>
      <w:r>
        <w:t xml:space="preserve"> </w:t>
      </w:r>
      <w:r>
        <w:t xml:space="preserve">Patients and the public were not involved in this review of published literature.</w:t>
      </w:r>
    </w:p>
    <w:p>
      <w:pPr>
        <w:pStyle w:val="BodyText"/>
      </w:pPr>
      <w:r>
        <w:rPr>
          <w:b/>
          <w:bCs/>
        </w:rPr>
        <w:t xml:space="preserve">Equity, diversity and inclusion.</w:t>
      </w:r>
      <w:r>
        <w:t xml:space="preserve"> </w:t>
      </w:r>
      <w:r>
        <w:t xml:space="preserve">The author is a single clinician; the reviewed evidence skews adolescent, sport-related and high-income, and the equity limits of digital delivery are addressed in Section 5.</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a significantly lower risk of persistent symptoms at 28 days than no activity (unadjusted 24.6% vs 43.5%; propensity-adjusted absolute risk difference 11.4%) [2].</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reflects not structural injury but a disorder of physiological regulation — autonomic and cerebrovascular dysregulation that is provoked by exertion and, crucially, is responsive to a graded aerobic stimulus delivered below the provocation threshold. Correctly dosed, exercise is the treatment, not a risk.</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activity [7], and the Ontario Neurotrauma Foundation’s paediatric living guideline carries the same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something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setting the dose, the threshold test forecasts recovery. In adolescents with sport-related concussion, an earlier randomised cohort from the same group found a low initial HRt strongly associated with prolonged (&gt;21-day) recovery [11], summarised later as an HRt below ~135 bpm [12],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[12].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trials, largely from the Buffalo group (Table 1).</w:t>
      </w:r>
    </w:p>
    <w:p>
      <w:pPr>
        <w:pStyle w:val="BodyText"/>
      </w:pPr>
      <w:r>
        <w:rPr>
          <w:b/>
          <w:bCs/>
        </w:rPr>
        <w:t xml:space="preserve">Origin.</w:t>
      </w:r>
      <w:r>
        <w:t xml:space="preserve"> </w:t>
      </w:r>
      <w:r>
        <w:t xml:space="preserve">A preliminary treadmill-training programme for refractory post-concussion syndrome demonstrated feasibility and symptom improvement at ~80% of the symptom-threshold heart rate [13].</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[14].</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[15].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management over rest [16]. Systematic synthesis for the Amsterdam process concluded that early rest beyond 24–48 hours confers no benefit and that prescribed sub-symptom-threshold aerobic exercise is beneficial [17]. A separate review emphasised that the most effective method and dose of exercise, and whether early treatment can prevent persistent symptoms, remain open questions [18].</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[19].</w:t>
      </w:r>
    </w:p>
    <w:p>
      <w:pPr>
        <w:pStyle w:val="BodyText"/>
      </w:pPr>
      <w:r>
        <w:rPr>
          <w:b/>
          <w:bCs/>
        </w:rPr>
        <w:t xml:space="preserve">Table 1 — Key clinical trials of sub-symptom-threshold aerobic exercise discussed in this review</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Study</w:t>
            </w:r>
          </w:p>
        </w:tc>
        <w:tc>
          <w:tcPr/>
          <w:p>
            <w:pPr>
              <w:pStyle w:val="Compact"/>
            </w:pPr>
            <w:r>
              <w:t xml:space="preserve">Design</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[13]</w:t>
            </w:r>
          </w:p>
        </w:tc>
        <w:tc>
          <w:tcPr/>
          <w:p>
            <w:pPr>
              <w:pStyle w:val="Compact"/>
            </w:pPr>
            <w:r>
              <w:t xml:space="preserve">Prospective case series (uncontrolled pilot)</w:t>
            </w:r>
          </w:p>
        </w:tc>
        <w:tc>
          <w:tcPr/>
          <w:p>
            <w:pPr>
              <w:pStyle w:val="Compact"/>
            </w:pPr>
            <w:r>
              <w:t xml:space="preserve">Refractory post-concussion syndrome</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[14]</w:t>
            </w:r>
          </w:p>
        </w:tc>
        <w:tc>
          <w:tcPr/>
          <w:p>
            <w:pPr>
              <w:pStyle w:val="Compact"/>
            </w:pPr>
            <w:r>
              <w:t xml:space="preserve">RCT</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[15]</w:t>
            </w:r>
          </w:p>
        </w:tc>
        <w:tc>
          <w:tcPr/>
          <w:p>
            <w:pPr>
              <w:pStyle w:val="Compact"/>
            </w:pPr>
            <w:r>
              <w:t xml:space="preserve">Multicentre RCT</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(hazard ratio for stretching vs aerobic 0.52, 95% CI 0.28–0.97)</w:t>
            </w:r>
          </w:p>
        </w:tc>
      </w:tr>
      <w:tr>
        <w:tc>
          <w:tcPr/>
          <w:p>
            <w:pPr>
              <w:pStyle w:val="Compact"/>
            </w:pPr>
            <w:r>
              <w:t xml:space="preserve">Willer 2019 [16]</w:t>
            </w:r>
          </w:p>
        </w:tc>
        <w:tc>
          <w:tcPr/>
          <w:p>
            <w:pPr>
              <w:pStyle w:val="Compact"/>
            </w:pPr>
            <w:r>
              <w:t xml:space="preserve">Quasi-experimental (non-randomised rest cohort, compared with matched RCT arms)*</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[19]</w:t>
            </w:r>
          </w:p>
        </w:tc>
        <w:tc>
          <w:tcPr/>
          <w:p>
            <w:pPr>
              <w:pStyle w:val="Compact"/>
            </w:pPr>
            <w:r>
              <w:t xml:space="preserve">RCT</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p>
      <w:pPr>
        <w:pStyle w:val="BodyText"/>
      </w:pPr>
      <w:r>
        <w:t xml:space="preserve">*The exercise and stretching arms of Willer 2019 are the randomised participants of the 2019 RCT; the samples overlap.</w:t>
      </w:r>
    </w:p>
    <w:bookmarkEnd w:id="18"/>
    <w:bookmarkStart w:id="19" w:name="prescribing-without-a-treadmill"/>
    <w:p>
      <w:pPr>
        <w:pStyle w:val="Heading3"/>
      </w:pPr>
      <w:r>
        <w:t xml:space="preserve">2.4 Prescribing without a treadmill</w:t>
      </w:r>
    </w:p>
    <w:p>
      <w:pPr>
        <w:pStyle w:val="FirstParagraph"/>
      </w:pPr>
      <w:r>
        <w:t xml:space="preserve">Not every clinician has a treadmill and the time for a staged test with per-minute logging. The Buffalo group addressed this in two practical-management papers: one detailing how to prescribe SSTAE in the outpatient setting from an HRt [20], and one giving a standardised programme in the absence of graded exercise testing [21]. A validated cycle-ergometer alternative also exists: the Buffalo Concussion Bike Test elicits an equivalent heart rate at symptom exacerbation to the treadmill test in adolescents (135 ± 25 vs 137 ± 28 bpm) [22],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[13–15,18].</w:t>
      </w:r>
    </w:p>
    <w:p>
      <w:pPr>
        <w:pStyle w:val="Compact"/>
        <w:numPr>
          <w:ilvl w:val="0"/>
          <w:numId w:val="1003"/>
        </w:numPr>
      </w:pPr>
      <w:r>
        <w:rPr>
          <w:b/>
          <w:bCs/>
        </w:rPr>
        <w:t xml:space="preserve">Dose:</w:t>
      </w:r>
      <w:r>
        <w:t xml:space="preserve"> </w:t>
      </w:r>
      <w:r>
        <w:t xml:space="preserve">~20 minutes, most days of the week [14,15].</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[20,21].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The trials prescribed an individualised heart-rate ceiling and reported good adherence under clinician oversight [14,15].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[23]. Serial HRt — the objective recovery curve — has to date been captured mainly within research protocols and specialist programmes [14,15].</w:t>
      </w:r>
    </w:p>
    <w:p>
      <w:pPr>
        <w:pStyle w:val="FirstParagraph"/>
      </w:pPr>
      <w:r>
        <w:t xml:space="preserve">The gap is associated with an outcome cost: in a secondary analysis of randomised-trial participants, adolescents who adhered to their home aerobic prescription in the first week recovered in a median of 12 days versus 21.5 days for those who did not — and the initial degree of exercise intolerance, not symptom severity, predicted who adhered [24].</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[13–15], the gap analysis in Section 3, and software-safety considerations, and stated as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[14,15]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[25] and wrist-worn optical sensors are measurably less accurate during aerobic exercise [26]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[27]. Its published protocol, however, guides users to a fixed ~60% ± 5% of age-predicted maximal heart rate (220 − age), with no graded test to individualise the threshold; individualisation is limited to in-app same/better/worse symptom feedback [28]. The cited evaluations do not report a dedicated clinician dashboard [27,28]. An RCT from the same group has likewise delivered early aerobic exercise using a progressive percentage of age-predicted maximal heart rate [29].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[30].</w:t>
      </w:r>
    </w:p>
    <w:p>
      <w:pPr>
        <w:pStyle w:val="Compact"/>
        <w:numPr>
          <w:ilvl w:val="0"/>
          <w:numId w:val="1006"/>
        </w:numPr>
      </w:pPr>
      <w:r>
        <w:t xml:space="preserve">The pivotal Buffalo trials themselves delivered individualised HRt-based home exercise with wearable heart-rate monitoring — 80% of HRt with a home heart-rate monitor [14], and a serial-HRt-updated prescription with weekly BCTT recheck [15].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[31]. The published description does not, however, describe digital delivery of a serial measured-HRt curve [31].</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[32] — and none identified by the mapping delivers exertion- or heart-rate-guided therapy. Remotely monitored, app-supported exercise rehabilitation with structured clinician review is an established pattern in cardiac care [33];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[27,28]; the CCMI–Wibbi module’s published description reports outcome monitoring and progress tracking rather than a serial measured-HRt curve [31].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[21,29],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[19] — and the optimal dose and mode of exercise remain open questions [18].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Whether a wearable-guided app actually improves between-visit delivery is itself an empirical question, not a given: app-based adherence commonly decays over weeks [34]; live heart-rate feedback can be misread under exertion or anxiety; consumer optical sensors are less accurate during exercise [26];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the question the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Leddy JJ, Hinds AL, Miecznikowski J, et al. Safety and Prognostic Utility of Provocative Exercise Testing in Acutely Concussed Adolescents: A Randomized Trial.</w:t>
      </w:r>
      <w:r>
        <w:t xml:space="preserve"> </w:t>
      </w:r>
      <w:r>
        <w:rPr>
          <w:i/>
          <w:iCs/>
        </w:rPr>
        <w:t xml:space="preserve">Clin J Sport Med.</w:t>
      </w:r>
      <w:r>
        <w:t xml:space="preserve"> </w:t>
      </w:r>
      <w:r>
        <w:t xml:space="preserve">2018;28(1):13–20. doi:10.1097/JSM.0000000000000431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 The ACTBI Randomized Controlled Trial.</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2026-08-14T01:38:38Z</dcterms:created>
  <dcterms:modified xsi:type="dcterms:W3CDTF">2026-08-14T01:38:38Z</dcterms:modified>
</cp:coreProperties>
</file>

<file path=docProps/custom.xml><?xml version="1.0" encoding="utf-8"?>
<Properties xmlns="http://schemas.openxmlformats.org/officeDocument/2006/custom-properties" xmlns:vt="http://schemas.openxmlformats.org/officeDocument/2006/docPropsVTypes"/>
</file>