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derived from the trial procedures: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rarely captured in routine records.</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condition-general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adults with persistent post-concussive symptoms, roughly 81% test positive for exercise intolerance, and a higher symptom burden is associated with higher odds of testing positive [3]. This matters because it means the phenotype is (a) frequent,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has been associated with prolonged (&gt;21-day) recovery, and Haider and colleagues found that a blunted heart-rate response — a change in heart rate of ≤50 bpm across the test — predicted delayed (&gt;30-day) recovery with roughly 73% sensitivity and 78% specificity in adolescents managed with the then-standard prescribed rest [7].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(ages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shortened recovery (the trial’s reported hazard ratio for stretching versus aerobic exercise was 0.52, 95% CI 0.28–0.97, p=0.039) and roughly halved the incidence of persistent post-concussive symptoms, with good adherence and no adverse events [10].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[14], and one giving a standardised programme in the absence of graded exercise testing [15].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4"/>
        </w:numPr>
      </w:pPr>
      <w:r>
        <w:rPr>
          <w:b/>
          <w:bCs/>
        </w:rPr>
        <w:t xml:space="preserve">Dose:</w:t>
      </w:r>
      <w:r>
        <w:t xml:space="preserve"> </w:t>
      </w:r>
      <w:r>
        <w:t xml:space="preserve">~20 minutes, most days of the week [9,10].</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[4].</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[9,10].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On paper diaries this history is, in the author’s clinical observation, incomplete and recalled rather than recorded. Serial HRt — the objective recovery curve — has to date been captured mainly within research protocols [9,10].</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derived from the trial procedures [8–10] and the gap analysis in Section 3,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[9,10] — converts an abstract bpm range into a moment-to-moment</w:t>
      </w:r>
      <w:r>
        <w:t xml:space="preserve"> </w:t>
      </w:r>
      <w:r>
        <w:t xml:space="preserve">“in zone / over / under”</w:t>
      </w:r>
      <w:r>
        <w:t xml:space="preserve"> </w:t>
      </w:r>
      <w:r>
        <w:t xml:space="preserve">signal. This is the most direct available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the main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honest limits attach to any implementation: phone-camera photoplethysmography is unreliable during exercise because of motion artefact, so it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exclusion, both drafted around clinician-facing software that does not process device signals — and be regulated as software as a medical device. Classification turns on claims and intended use, and a formal regulatory scoping opinion should precede any launch.</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e07dc316fc9c296e7b2ad198a22c4f0f6dcd972"/>
    <w:p>
      <w:pPr>
        <w:pStyle w:val="Heading3"/>
      </w:pPr>
      <w:r>
        <w:t xml:space="preserve">4.2 What already exists — and the narrow, honest novelty</w:t>
      </w:r>
    </w:p>
    <w:p>
      <w:pPr>
        <w:pStyle w:val="FirstParagraph"/>
      </w:pPr>
      <w:r>
        <w:t xml:space="preserve">It would be wrong to imply that no one has digitised this prescription. The honest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[16]. Its published protocol, however, guides users to a fixed ~60% ± 5% of age-predicted maximal heart rate (220 − age), with no graded test to individualise the threshold; individualisation is limited to in-app same/better/worse symptom feedback [17]. The published descriptions do not report a dedicated clinician dashboard [16,17]. An RCT from the same group has likewise delivered early aerobic exercise using a progressive percentage of age-predicted maximal heart rate [18].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[19].</w:t>
      </w:r>
    </w:p>
    <w:p>
      <w:pPr>
        <w:pStyle w:val="Compact"/>
        <w:numPr>
          <w:ilvl w:val="0"/>
          <w:numId w:val="1007"/>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[20]. The published description reports symptom and outcome-score tracking; it does not describe digital delivery of a serial measured-HRt curve [20].</w:t>
      </w:r>
    </w:p>
    <w:p>
      <w:pPr>
        <w:pStyle w:val="Compact"/>
        <w:numPr>
          <w:ilvl w:val="0"/>
          <w:numId w:val="1007"/>
        </w:numPr>
      </w:pPr>
      <w:r>
        <w:t xml:space="preserve">Concussion</w:t>
      </w:r>
      <w:r>
        <w:t xml:space="preserve"> </w:t>
      </w:r>
      <w:r>
        <w:rPr>
          <w:i/>
          <w:iCs/>
        </w:rPr>
        <w:t xml:space="preserve">assessment</w:t>
      </w:r>
      <w:r>
        <w:t xml:space="preserve"> </w:t>
      </w:r>
      <w:r>
        <w:t xml:space="preserve">platforms (e.g. Sway [21]) digitise symptom, balance and cognitive testing; their published descriptions include no exertion- or heart-rate-guided therapy. Supervised heart-rate-zone training is an established pattern in app-based cardiac rehabilitation; this review’s mapping identified no equivalently supervised, at-scale commercial implementation for concussion.</w:t>
      </w:r>
    </w:p>
    <w:p>
      <w:pPr>
        <w:pStyle w:val="FirstParagraph"/>
      </w:pPr>
      <w:r>
        <w:t xml:space="preserve">Against that backdrop, the defensible finding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[16,17]; the CCMI–Wibbi module’s published description reports outcome-score tracking rather than a serial measured-HRt curve [20].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use in Australia, and the regulatory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honest-scope"/>
    <w:p>
      <w:pPr>
        <w:pStyle w:val="Heading2"/>
      </w:pPr>
      <w:r>
        <w:t xml:space="preserve">5. Limitations and honest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honest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2026-08-12T04:41:45Z</dcterms:created>
  <dcterms:modified xsi:type="dcterms:W3CDTF">2026-08-12T04:41:45Z</dcterms:modified>
</cp:coreProperties>
</file>

<file path=docProps/custom.xml><?xml version="1.0" encoding="utf-8"?>
<Properties xmlns="http://schemas.openxmlformats.org/officeDocument/2006/custom-properties" xmlns:vt="http://schemas.openxmlformats.org/officeDocument/2006/docPropsVTypes"/>
</file>